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FEA3EF" w14:textId="56ECF717" w:rsidR="002D7745" w:rsidRPr="00EB7912" w:rsidRDefault="3D668B40" w:rsidP="129C33C4">
      <w:pPr>
        <w:spacing w:after="0"/>
        <w:jc w:val="right"/>
        <w:rPr>
          <w:b/>
          <w:bCs/>
          <w:lang w:val="es-MX"/>
        </w:rPr>
      </w:pPr>
      <w:r w:rsidRPr="3F9BB9D7">
        <w:rPr>
          <w:b/>
          <w:bCs/>
          <w:lang w:val="es-MX"/>
        </w:rPr>
        <w:t xml:space="preserve">Santiago, </w:t>
      </w:r>
      <w:r w:rsidR="00606634">
        <w:rPr>
          <w:b/>
          <w:bCs/>
          <w:lang w:val="es-MX"/>
        </w:rPr>
        <w:t>15</w:t>
      </w:r>
      <w:r w:rsidRPr="3F9BB9D7">
        <w:rPr>
          <w:b/>
          <w:bCs/>
          <w:lang w:val="es-MX"/>
        </w:rPr>
        <w:t xml:space="preserve"> de </w:t>
      </w:r>
      <w:r w:rsidR="3F0552B7" w:rsidRPr="3F9BB9D7">
        <w:rPr>
          <w:b/>
          <w:bCs/>
          <w:lang w:val="es-MX"/>
        </w:rPr>
        <w:t>Enero</w:t>
      </w:r>
      <w:r w:rsidRPr="3F9BB9D7">
        <w:rPr>
          <w:b/>
          <w:bCs/>
          <w:lang w:val="es-MX"/>
        </w:rPr>
        <w:t xml:space="preserve"> de 202</w:t>
      </w:r>
      <w:r w:rsidR="5AB3913E" w:rsidRPr="3F9BB9D7">
        <w:rPr>
          <w:b/>
          <w:bCs/>
          <w:lang w:val="es-MX"/>
        </w:rPr>
        <w:t>6</w:t>
      </w:r>
    </w:p>
    <w:p w14:paraId="69A90C58" w14:textId="571FBFBC" w:rsidR="129C33C4" w:rsidRDefault="129C33C4" w:rsidP="129C33C4">
      <w:pPr>
        <w:spacing w:after="0" w:line="240" w:lineRule="auto"/>
        <w:jc w:val="center"/>
        <w:rPr>
          <w:b/>
          <w:bCs/>
          <w:color w:val="1F4E79" w:themeColor="accent1" w:themeShade="80"/>
          <w:sz w:val="14"/>
          <w:szCs w:val="14"/>
          <w:lang w:val="es-MX"/>
        </w:rPr>
      </w:pPr>
    </w:p>
    <w:p w14:paraId="6EE2CA96" w14:textId="77777777" w:rsidR="00820991" w:rsidRPr="00EB7912" w:rsidRDefault="573A5F94" w:rsidP="3809F42B">
      <w:pPr>
        <w:spacing w:after="0" w:line="240" w:lineRule="auto"/>
        <w:jc w:val="center"/>
        <w:rPr>
          <w:b/>
          <w:bCs/>
          <w:color w:val="1F4E79" w:themeColor="accent1" w:themeShade="80"/>
          <w:sz w:val="24"/>
          <w:szCs w:val="24"/>
          <w:lang w:val="es-MX"/>
        </w:rPr>
      </w:pPr>
      <w:r w:rsidRPr="3809F42B">
        <w:rPr>
          <w:b/>
          <w:bCs/>
          <w:color w:val="1F4E79" w:themeColor="accent1" w:themeShade="80"/>
          <w:sz w:val="24"/>
          <w:szCs w:val="24"/>
          <w:lang w:val="es-MX"/>
        </w:rPr>
        <w:t>Minuta Informativa</w:t>
      </w:r>
    </w:p>
    <w:p w14:paraId="2403E20F" w14:textId="77777777" w:rsidR="00820991" w:rsidRPr="00EB7912" w:rsidRDefault="573A5F94" w:rsidP="3809F42B">
      <w:pPr>
        <w:spacing w:after="0" w:line="240" w:lineRule="auto"/>
        <w:jc w:val="center"/>
        <w:rPr>
          <w:b/>
          <w:bCs/>
          <w:color w:val="1F4E79" w:themeColor="accent1" w:themeShade="80"/>
          <w:sz w:val="24"/>
          <w:szCs w:val="24"/>
          <w:lang w:val="es-MX"/>
        </w:rPr>
      </w:pPr>
      <w:r w:rsidRPr="3809F42B">
        <w:rPr>
          <w:b/>
          <w:bCs/>
          <w:color w:val="1F4E79" w:themeColor="accent1" w:themeShade="80"/>
          <w:sz w:val="24"/>
          <w:szCs w:val="24"/>
          <w:lang w:val="es-MX"/>
        </w:rPr>
        <w:t xml:space="preserve"> </w:t>
      </w:r>
      <w:r w:rsidR="3DC8805F" w:rsidRPr="3809F42B">
        <w:rPr>
          <w:b/>
          <w:bCs/>
          <w:color w:val="1F4E79" w:themeColor="accent1" w:themeShade="80"/>
          <w:sz w:val="24"/>
          <w:szCs w:val="24"/>
          <w:lang w:val="es-MX"/>
        </w:rPr>
        <w:t xml:space="preserve">Ley </w:t>
      </w:r>
      <w:r w:rsidR="7CA2B9FE" w:rsidRPr="3809F42B">
        <w:rPr>
          <w:b/>
          <w:bCs/>
          <w:color w:val="1F4E79" w:themeColor="accent1" w:themeShade="80"/>
          <w:sz w:val="24"/>
          <w:szCs w:val="24"/>
          <w:lang w:val="es-MX"/>
        </w:rPr>
        <w:t xml:space="preserve">21.772, de Presupuestos del Sector Público </w:t>
      </w:r>
      <w:r w:rsidR="3DC8805F" w:rsidRPr="3809F42B">
        <w:rPr>
          <w:b/>
          <w:bCs/>
          <w:color w:val="1F4E79" w:themeColor="accent1" w:themeShade="80"/>
          <w:sz w:val="24"/>
          <w:szCs w:val="24"/>
          <w:lang w:val="es-MX"/>
        </w:rPr>
        <w:t>año 2025</w:t>
      </w:r>
    </w:p>
    <w:p w14:paraId="2CB12253" w14:textId="0F94B8B0" w:rsidR="129C33C4" w:rsidRDefault="129C33C4" w:rsidP="3809F42B">
      <w:pPr>
        <w:spacing w:after="0" w:line="240" w:lineRule="auto"/>
        <w:jc w:val="center"/>
        <w:rPr>
          <w:b/>
          <w:bCs/>
          <w:color w:val="1F4E79" w:themeColor="accent1" w:themeShade="80"/>
          <w:sz w:val="24"/>
          <w:szCs w:val="24"/>
          <w:lang w:val="es-MX"/>
        </w:rPr>
      </w:pPr>
    </w:p>
    <w:p w14:paraId="0E1A3C68" w14:textId="4C33BDAE" w:rsidR="01063C32" w:rsidRDefault="2EC18E3C" w:rsidP="3809F42B">
      <w:pPr>
        <w:spacing w:after="0" w:line="240" w:lineRule="auto"/>
        <w:jc w:val="center"/>
        <w:rPr>
          <w:color w:val="2E74B5" w:themeColor="accent1" w:themeShade="BF"/>
          <w:sz w:val="24"/>
          <w:szCs w:val="24"/>
          <w:lang w:val="es-MX"/>
        </w:rPr>
      </w:pPr>
      <w:r w:rsidRPr="3809F42B">
        <w:rPr>
          <w:b/>
          <w:bCs/>
          <w:color w:val="2E74B5" w:themeColor="accent1" w:themeShade="BF"/>
          <w:sz w:val="24"/>
          <w:szCs w:val="24"/>
          <w:lang w:val="es-MX"/>
        </w:rPr>
        <w:t xml:space="preserve"> </w:t>
      </w:r>
      <w:r w:rsidR="3587E535" w:rsidRPr="3809F42B">
        <w:rPr>
          <w:color w:val="000000" w:themeColor="text1"/>
          <w:sz w:val="24"/>
          <w:szCs w:val="24"/>
          <w:lang w:val="es-MX"/>
        </w:rPr>
        <w:t>Partida 12, Capítulo 02, Programa 03 – Glosa N° 12</w:t>
      </w:r>
      <w:r w:rsidR="5D927331" w:rsidRPr="3809F42B">
        <w:rPr>
          <w:color w:val="000000" w:themeColor="text1"/>
          <w:sz w:val="24"/>
          <w:szCs w:val="24"/>
          <w:lang w:val="es-MX"/>
        </w:rPr>
        <w:t xml:space="preserve"> </w:t>
      </w:r>
      <w:r w:rsidRPr="3809F42B">
        <w:rPr>
          <w:i/>
          <w:iCs/>
          <w:color w:val="000000" w:themeColor="text1"/>
          <w:sz w:val="24"/>
          <w:szCs w:val="24"/>
          <w:lang w:val="es-MX"/>
        </w:rPr>
        <w:t>“</w:t>
      </w:r>
      <w:r w:rsidR="3D668B40" w:rsidRPr="3809F42B">
        <w:rPr>
          <w:i/>
          <w:iCs/>
          <w:color w:val="000000" w:themeColor="text1"/>
          <w:sz w:val="24"/>
          <w:szCs w:val="24"/>
          <w:lang w:val="es-MX"/>
        </w:rPr>
        <w:t xml:space="preserve">Avance de Medidas y Acciones llevadas adelante por parte del </w:t>
      </w:r>
      <w:r w:rsidR="5D927331" w:rsidRPr="3809F42B">
        <w:rPr>
          <w:i/>
          <w:iCs/>
          <w:color w:val="000000" w:themeColor="text1"/>
          <w:sz w:val="24"/>
          <w:szCs w:val="24"/>
          <w:lang w:val="es-MX"/>
        </w:rPr>
        <w:t>M</w:t>
      </w:r>
      <w:r w:rsidR="50E49842" w:rsidRPr="3809F42B">
        <w:rPr>
          <w:i/>
          <w:iCs/>
          <w:color w:val="000000" w:themeColor="text1"/>
          <w:sz w:val="24"/>
          <w:szCs w:val="24"/>
          <w:lang w:val="es-MX"/>
        </w:rPr>
        <w:t>inisterio de Obras Públicas</w:t>
      </w:r>
      <w:r w:rsidR="3D668B40" w:rsidRPr="3809F42B">
        <w:rPr>
          <w:i/>
          <w:iCs/>
          <w:color w:val="000000" w:themeColor="text1"/>
          <w:sz w:val="24"/>
          <w:szCs w:val="24"/>
          <w:lang w:val="es-MX"/>
        </w:rPr>
        <w:t xml:space="preserve"> en el Marco del Programa Transición Hídrica de Chile en el marco del contrato de Préstamo N° 9692-CL, celebrado entre la República de Chile y el Banco Internacional de Reconstrucción y Fomento (BIRF)</w:t>
      </w:r>
      <w:r w:rsidRPr="3809F42B">
        <w:rPr>
          <w:i/>
          <w:iCs/>
          <w:color w:val="000000" w:themeColor="text1"/>
          <w:sz w:val="24"/>
          <w:szCs w:val="24"/>
          <w:lang w:val="es-MX"/>
        </w:rPr>
        <w:t>”</w:t>
      </w:r>
    </w:p>
    <w:p w14:paraId="0D6123A9" w14:textId="250507C9" w:rsidR="129C33C4" w:rsidRDefault="129C33C4" w:rsidP="129C33C4">
      <w:pPr>
        <w:pStyle w:val="Ttulo1"/>
        <w:numPr>
          <w:ilvl w:val="0"/>
          <w:numId w:val="0"/>
        </w:numPr>
        <w:spacing w:before="0" w:line="240" w:lineRule="auto"/>
        <w:rPr>
          <w:rFonts w:asciiTheme="minorHAnsi" w:hAnsiTheme="minorHAnsi" w:cstheme="minorBidi"/>
          <w:b/>
          <w:bCs/>
          <w:color w:val="1F4E79" w:themeColor="accent1" w:themeShade="80"/>
          <w:sz w:val="24"/>
          <w:szCs w:val="24"/>
          <w:lang w:val="es-MX"/>
        </w:rPr>
      </w:pPr>
    </w:p>
    <w:p w14:paraId="40DF246B" w14:textId="03EB119D" w:rsidR="004D208A" w:rsidRDefault="004D208A" w:rsidP="7A6142F6">
      <w:pPr>
        <w:pStyle w:val="Ttulo1"/>
        <w:numPr>
          <w:ilvl w:val="0"/>
          <w:numId w:val="0"/>
        </w:numPr>
        <w:spacing w:before="0" w:after="240" w:line="276" w:lineRule="auto"/>
        <w:rPr>
          <w:rFonts w:asciiTheme="minorHAnsi" w:hAnsiTheme="minorHAnsi" w:cstheme="minorBidi"/>
          <w:b/>
          <w:bCs/>
          <w:color w:val="1F4E79" w:themeColor="accent1" w:themeShade="80"/>
          <w:sz w:val="24"/>
          <w:szCs w:val="24"/>
          <w:lang w:val="es-MX"/>
        </w:rPr>
      </w:pPr>
      <w:r w:rsidRPr="7A6142F6">
        <w:rPr>
          <w:rFonts w:asciiTheme="minorHAnsi" w:hAnsiTheme="minorHAnsi" w:cstheme="minorBidi"/>
          <w:b/>
          <w:bCs/>
          <w:color w:val="1F4E79" w:themeColor="accent1" w:themeShade="80"/>
          <w:sz w:val="24"/>
          <w:szCs w:val="24"/>
          <w:lang w:val="es-MX"/>
        </w:rPr>
        <w:t>Contexto</w:t>
      </w:r>
    </w:p>
    <w:p w14:paraId="6E2027F1" w14:textId="147526B3" w:rsidR="00820991" w:rsidRPr="00EB7912" w:rsidRDefault="4F3C604F" w:rsidP="3809F42B">
      <w:pPr>
        <w:spacing w:after="0" w:line="240" w:lineRule="auto"/>
        <w:jc w:val="both"/>
        <w:rPr>
          <w:rFonts w:eastAsiaTheme="minorEastAsia"/>
          <w:lang w:val="es-MX"/>
        </w:rPr>
      </w:pPr>
      <w:r w:rsidRPr="3809F42B">
        <w:rPr>
          <w:rFonts w:eastAsiaTheme="minorEastAsia"/>
          <w:lang w:val="es-MX"/>
        </w:rPr>
        <w:t xml:space="preserve">El Gobierno de Chile y el Banco Mundial suscribieron un contrato </w:t>
      </w:r>
      <w:r w:rsidR="0317EE2F" w:rsidRPr="3809F42B">
        <w:rPr>
          <w:rFonts w:eastAsiaTheme="minorEastAsia"/>
          <w:lang w:val="es-MX"/>
        </w:rPr>
        <w:t xml:space="preserve">(2024), por un monto total de US$ 250 Millones, </w:t>
      </w:r>
      <w:r w:rsidRPr="3809F42B">
        <w:rPr>
          <w:rFonts w:eastAsiaTheme="minorEastAsia"/>
          <w:lang w:val="es-MX"/>
        </w:rPr>
        <w:t>en el marco de un Programa por Resultados</w:t>
      </w:r>
      <w:r w:rsidR="0317EE2F" w:rsidRPr="3809F42B">
        <w:rPr>
          <w:rFonts w:eastAsiaTheme="minorEastAsia"/>
          <w:lang w:val="es-MX"/>
        </w:rPr>
        <w:t xml:space="preserve"> (PfR)</w:t>
      </w:r>
      <w:r w:rsidR="000257F8" w:rsidRPr="3809F42B">
        <w:rPr>
          <w:rStyle w:val="Refdenotaalpie"/>
          <w:rFonts w:eastAsiaTheme="minorEastAsia"/>
          <w:lang w:val="es-MX"/>
        </w:rPr>
        <w:footnoteReference w:id="1"/>
      </w:r>
      <w:r w:rsidR="0317EE2F" w:rsidRPr="3809F42B">
        <w:rPr>
          <w:rFonts w:eastAsiaTheme="minorEastAsia"/>
          <w:lang w:val="es-MX"/>
        </w:rPr>
        <w:t xml:space="preserve"> </w:t>
      </w:r>
      <w:r w:rsidRPr="3809F42B">
        <w:rPr>
          <w:rFonts w:eastAsiaTheme="minorEastAsia"/>
          <w:lang w:val="es-MX"/>
        </w:rPr>
        <w:t xml:space="preserve">denominado “Transición Hídrica de Chile”. </w:t>
      </w:r>
    </w:p>
    <w:p w14:paraId="11C3EB94" w14:textId="50DACA58" w:rsidR="00EB7912" w:rsidRDefault="00506F4A" w:rsidP="3809F42B">
      <w:pPr>
        <w:spacing w:after="0" w:line="240" w:lineRule="auto"/>
        <w:jc w:val="both"/>
        <w:rPr>
          <w:rFonts w:eastAsiaTheme="minorEastAsia"/>
          <w:lang w:val="es-MX"/>
        </w:rPr>
      </w:pPr>
      <w:r w:rsidRPr="3809F42B">
        <w:rPr>
          <w:rFonts w:eastAsiaTheme="minorEastAsia"/>
          <w:lang w:val="es-MX"/>
        </w:rPr>
        <w:t>La contraparte gubernamental es el Ministerio de Hacienda y los Ministerios ejecutores corresponden al Ministerio de Obras Públicas y el Ministerio de Medio Ambiente. Este programa cuenta con tres áreas de resultados, cada una con distintos indicadores de resultados (DLI’s)</w:t>
      </w:r>
      <w:r w:rsidR="5C894795" w:rsidRPr="3809F42B">
        <w:rPr>
          <w:rFonts w:eastAsiaTheme="minorEastAsia"/>
          <w:lang w:val="es-MX"/>
        </w:rPr>
        <w:t xml:space="preserve">. </w:t>
      </w:r>
      <w:r w:rsidR="725D3C42" w:rsidRPr="3809F42B">
        <w:rPr>
          <w:rFonts w:eastAsiaTheme="minorEastAsia"/>
          <w:lang w:val="es-MX"/>
        </w:rPr>
        <w:t>La Unidad de Coordinación y Reportes (UCR) ubicada en la Dirección General de Obras Públicas (D</w:t>
      </w:r>
      <w:r w:rsidR="3CCE0ADB" w:rsidRPr="3809F42B">
        <w:rPr>
          <w:rFonts w:eastAsiaTheme="minorEastAsia"/>
          <w:lang w:val="es-MX"/>
        </w:rPr>
        <w:t>GOP, MOP) facilita las tareas administrativas y de monitoreo y evaluación del Programa</w:t>
      </w:r>
      <w:r w:rsidR="0538F63B" w:rsidRPr="3809F42B">
        <w:rPr>
          <w:rFonts w:eastAsiaTheme="minorEastAsia"/>
          <w:lang w:val="es-MX"/>
        </w:rPr>
        <w:t xml:space="preserve">, dando cuenta de los siguientes avances </w:t>
      </w:r>
      <w:r w:rsidR="5C894795" w:rsidRPr="3809F42B">
        <w:rPr>
          <w:rFonts w:eastAsiaTheme="minorEastAsia"/>
          <w:lang w:val="es-MX"/>
        </w:rPr>
        <w:t>por área de resultado</w:t>
      </w:r>
      <w:r w:rsidR="14A05AC0" w:rsidRPr="3809F42B">
        <w:rPr>
          <w:rFonts w:eastAsiaTheme="minorEastAsia"/>
          <w:lang w:val="es-MX"/>
        </w:rPr>
        <w:t xml:space="preserve"> (AR)</w:t>
      </w:r>
      <w:r w:rsidR="5C894795" w:rsidRPr="3809F42B">
        <w:rPr>
          <w:rFonts w:eastAsiaTheme="minorEastAsia"/>
          <w:lang w:val="es-MX"/>
        </w:rPr>
        <w:t>.</w:t>
      </w:r>
    </w:p>
    <w:p w14:paraId="21707571" w14:textId="22DAE9CB" w:rsidR="002E104B" w:rsidRPr="00EB7912" w:rsidRDefault="002E104B" w:rsidP="3809F42B">
      <w:pPr>
        <w:spacing w:after="0" w:line="240" w:lineRule="auto"/>
        <w:jc w:val="both"/>
        <w:rPr>
          <w:rFonts w:eastAsiaTheme="minorEastAsia"/>
          <w:lang w:val="es-MX"/>
        </w:rPr>
      </w:pPr>
    </w:p>
    <w:p w14:paraId="61324AFE" w14:textId="0B9F8806" w:rsidR="002E104B" w:rsidRPr="00EB7912" w:rsidRDefault="0ED7B00C" w:rsidP="3809F42B">
      <w:pPr>
        <w:spacing w:after="0" w:line="240" w:lineRule="auto"/>
        <w:jc w:val="both"/>
        <w:rPr>
          <w:rFonts w:eastAsiaTheme="minorEastAsia"/>
          <w:lang w:val="es-MX"/>
        </w:rPr>
      </w:pPr>
      <w:r w:rsidRPr="5609A047">
        <w:rPr>
          <w:rFonts w:eastAsiaTheme="minorEastAsia"/>
          <w:lang w:val="es-MX"/>
        </w:rPr>
        <w:t xml:space="preserve">De acuerdo a lo dispuesto en el convenio de </w:t>
      </w:r>
      <w:r w:rsidR="7B8F62AC" w:rsidRPr="5609A047">
        <w:rPr>
          <w:rFonts w:eastAsiaTheme="minorEastAsia"/>
          <w:lang w:val="es-MX"/>
        </w:rPr>
        <w:t>préstamo</w:t>
      </w:r>
      <w:r w:rsidRPr="5609A047">
        <w:rPr>
          <w:rFonts w:eastAsiaTheme="minorEastAsia"/>
          <w:lang w:val="es-MX"/>
        </w:rPr>
        <w:t xml:space="preserve"> suscrito con el Banco Mundial, los recursos serán desembolsados conforme a la verificación del cumplimiento de los indicadores, trabajo que será efectuado por un "Agente Verificador Independiente" (AVI). En tal sentido, el 15 de julio ha sido adjudicado el “Servicio</w:t>
      </w:r>
      <w:r w:rsidR="1E25BB6A" w:rsidRPr="5609A047">
        <w:rPr>
          <w:rFonts w:eastAsiaTheme="minorEastAsia"/>
          <w:lang w:val="es-MX"/>
        </w:rPr>
        <w:t xml:space="preserve"> de Agente Verificador Independiente” </w:t>
      </w:r>
      <w:r w:rsidR="7E343B91" w:rsidRPr="5609A047">
        <w:rPr>
          <w:rFonts w:eastAsiaTheme="minorEastAsia"/>
          <w:lang w:val="es-MX"/>
        </w:rPr>
        <w:t>(</w:t>
      </w:r>
      <w:r w:rsidR="4E346AB3" w:rsidRPr="5609A047">
        <w:rPr>
          <w:rFonts w:eastAsiaTheme="minorEastAsia"/>
          <w:lang w:val="es-MX"/>
        </w:rPr>
        <w:t>Resolución Exenta N° 781 DGOP</w:t>
      </w:r>
      <w:r w:rsidR="7E343B91" w:rsidRPr="5609A047">
        <w:rPr>
          <w:rFonts w:eastAsiaTheme="minorEastAsia"/>
          <w:lang w:val="es-MX"/>
        </w:rPr>
        <w:t>)</w:t>
      </w:r>
      <w:r w:rsidR="7D069B72" w:rsidRPr="5609A047">
        <w:rPr>
          <w:rFonts w:eastAsiaTheme="minorEastAsia"/>
          <w:lang w:val="es-MX"/>
        </w:rPr>
        <w:t>, y el 22 de</w:t>
      </w:r>
      <w:r w:rsidR="4DFD2FBE" w:rsidRPr="5609A047">
        <w:rPr>
          <w:rFonts w:eastAsiaTheme="minorEastAsia"/>
          <w:lang w:val="es-MX"/>
        </w:rPr>
        <w:t xml:space="preserve"> septiembre se ha dado inicio al 1er ciclo de verificación de resultados</w:t>
      </w:r>
      <w:r w:rsidR="34CEF95A" w:rsidRPr="5609A047">
        <w:rPr>
          <w:rFonts w:eastAsiaTheme="minorEastAsia"/>
          <w:lang w:val="es-MX"/>
        </w:rPr>
        <w:t>, trabajo que actualmente se encuentra en curso.</w:t>
      </w:r>
      <w:r w:rsidR="55D120EB" w:rsidRPr="5609A047">
        <w:rPr>
          <w:rFonts w:eastAsiaTheme="minorEastAsia"/>
          <w:lang w:val="es-MX"/>
        </w:rPr>
        <w:t xml:space="preserve"> </w:t>
      </w:r>
      <w:r w:rsidR="500EEAA9" w:rsidRPr="5609A047">
        <w:rPr>
          <w:rFonts w:eastAsiaTheme="minorEastAsia"/>
          <w:lang w:val="es-MX"/>
        </w:rPr>
        <w:t>Estas verificaciones de resultados</w:t>
      </w:r>
      <w:r w:rsidR="14C1D656" w:rsidRPr="5609A047">
        <w:rPr>
          <w:rFonts w:eastAsiaTheme="minorEastAsia"/>
          <w:lang w:val="es-MX"/>
        </w:rPr>
        <w:t>,</w:t>
      </w:r>
      <w:r w:rsidR="7B194B9C" w:rsidRPr="5609A047">
        <w:rPr>
          <w:rFonts w:eastAsiaTheme="minorEastAsia"/>
          <w:lang w:val="es-MX"/>
        </w:rPr>
        <w:t xml:space="preserve"> </w:t>
      </w:r>
      <w:r w:rsidR="74842793" w:rsidRPr="5609A047">
        <w:rPr>
          <w:rFonts w:eastAsiaTheme="minorEastAsia"/>
          <w:lang w:val="es-MX"/>
        </w:rPr>
        <w:t>de acuerdo con</w:t>
      </w:r>
      <w:r w:rsidR="7B194B9C" w:rsidRPr="5609A047">
        <w:rPr>
          <w:rFonts w:eastAsiaTheme="minorEastAsia"/>
          <w:lang w:val="es-MX"/>
        </w:rPr>
        <w:t xml:space="preserve"> lo dispuesto en el Manual de Operaciones del Programa,</w:t>
      </w:r>
      <w:r w:rsidR="14C1D656" w:rsidRPr="5609A047">
        <w:rPr>
          <w:rFonts w:eastAsiaTheme="minorEastAsia"/>
          <w:lang w:val="es-MX"/>
        </w:rPr>
        <w:t xml:space="preserve"> habilitarán los desembolsos por parte del Banco Mundial. </w:t>
      </w:r>
    </w:p>
    <w:p w14:paraId="704C7728" w14:textId="551C5C19" w:rsidR="002E104B" w:rsidRPr="00EB7912" w:rsidRDefault="002E104B" w:rsidP="3809F42B">
      <w:pPr>
        <w:spacing w:after="0" w:line="240" w:lineRule="auto"/>
        <w:jc w:val="both"/>
        <w:rPr>
          <w:b/>
          <w:bCs/>
          <w:color w:val="1F4E79" w:themeColor="accent1" w:themeShade="80"/>
          <w:sz w:val="24"/>
          <w:szCs w:val="24"/>
          <w:lang w:val="es-MX"/>
        </w:rPr>
      </w:pPr>
    </w:p>
    <w:p w14:paraId="2739215A" w14:textId="4DD35A38" w:rsidR="002E104B" w:rsidRPr="00EB7912" w:rsidRDefault="5FE8D4E6" w:rsidP="3809F42B">
      <w:pPr>
        <w:spacing w:after="0" w:line="240" w:lineRule="auto"/>
        <w:jc w:val="both"/>
        <w:rPr>
          <w:rFonts w:eastAsiaTheme="minorEastAsia"/>
          <w:b/>
          <w:bCs/>
          <w:color w:val="1F4E79" w:themeColor="accent1" w:themeShade="80"/>
          <w:sz w:val="24"/>
          <w:szCs w:val="24"/>
          <w:lang w:val="es-MX"/>
        </w:rPr>
      </w:pPr>
      <w:r w:rsidRPr="3809F42B">
        <w:rPr>
          <w:rFonts w:eastAsiaTheme="minorEastAsia"/>
          <w:b/>
          <w:bCs/>
          <w:color w:val="1F4E79" w:themeColor="accent1" w:themeShade="80"/>
          <w:sz w:val="24"/>
          <w:szCs w:val="24"/>
          <w:lang w:val="es-MX"/>
        </w:rPr>
        <w:t>Área de Resultado 1</w:t>
      </w:r>
      <w:r w:rsidR="002E104B" w:rsidRPr="3809F42B">
        <w:rPr>
          <w:rStyle w:val="Refdenotaalpie"/>
          <w:rFonts w:eastAsiaTheme="minorEastAsia"/>
          <w:b/>
          <w:bCs/>
          <w:color w:val="1F4E79" w:themeColor="accent1" w:themeShade="80"/>
          <w:sz w:val="24"/>
          <w:szCs w:val="24"/>
          <w:lang w:val="es-MX"/>
        </w:rPr>
        <w:footnoteReference w:id="2"/>
      </w:r>
      <w:r w:rsidRPr="3809F42B">
        <w:rPr>
          <w:rFonts w:eastAsiaTheme="minorEastAsia"/>
          <w:b/>
          <w:bCs/>
          <w:color w:val="1F4E79" w:themeColor="accent1" w:themeShade="80"/>
          <w:sz w:val="24"/>
          <w:szCs w:val="24"/>
          <w:lang w:val="es-MX"/>
        </w:rPr>
        <w:t xml:space="preserve">: </w:t>
      </w:r>
      <w:r w:rsidRPr="3809F42B">
        <w:rPr>
          <w:rFonts w:eastAsiaTheme="minorEastAsia"/>
          <w:color w:val="1F4E79" w:themeColor="accent1" w:themeShade="80"/>
          <w:sz w:val="24"/>
          <w:szCs w:val="24"/>
          <w:lang w:val="es-MX"/>
        </w:rPr>
        <w:t>Fortalecimiento de la capacidad institucional para la gestión integrada de los recursos hídricos (GIRH) a nivel nacional y de cuencas.</w:t>
      </w:r>
    </w:p>
    <w:p w14:paraId="76813E21" w14:textId="77777777" w:rsidR="00EB7912" w:rsidRDefault="00EB7912" w:rsidP="3809F42B">
      <w:pPr>
        <w:spacing w:after="0" w:line="240" w:lineRule="auto"/>
        <w:contextualSpacing/>
        <w:jc w:val="both"/>
        <w:rPr>
          <w:rFonts w:eastAsiaTheme="minorEastAsia"/>
          <w:sz w:val="12"/>
          <w:szCs w:val="12"/>
          <w:lang w:val="es-MX"/>
        </w:rPr>
      </w:pPr>
    </w:p>
    <w:p w14:paraId="1C394BD3" w14:textId="1B00961E" w:rsidR="00E40A9D" w:rsidRPr="00EB7912" w:rsidRDefault="0461FB70" w:rsidP="3809F42B">
      <w:pPr>
        <w:spacing w:line="240" w:lineRule="auto"/>
        <w:jc w:val="both"/>
        <w:rPr>
          <w:rFonts w:eastAsiaTheme="minorEastAsia"/>
          <w:lang w:val="es-MX"/>
        </w:rPr>
      </w:pPr>
      <w:r w:rsidRPr="3F9BB9D7">
        <w:rPr>
          <w:rFonts w:eastAsiaTheme="minorEastAsia"/>
          <w:lang w:val="es-MX"/>
        </w:rPr>
        <w:t xml:space="preserve">En esta área de resultados, al cierre del </w:t>
      </w:r>
      <w:r w:rsidR="1320DAD0" w:rsidRPr="3F9BB9D7">
        <w:rPr>
          <w:rFonts w:eastAsiaTheme="minorEastAsia"/>
          <w:lang w:val="es-MX"/>
        </w:rPr>
        <w:t>cuarto</w:t>
      </w:r>
      <w:r w:rsidRPr="3F9BB9D7">
        <w:rPr>
          <w:rFonts w:eastAsiaTheme="minorEastAsia"/>
          <w:lang w:val="es-MX"/>
        </w:rPr>
        <w:t xml:space="preserve"> trimestre</w:t>
      </w:r>
      <w:r w:rsidR="57DF7B14" w:rsidRPr="3F9BB9D7">
        <w:rPr>
          <w:rFonts w:eastAsiaTheme="minorEastAsia"/>
          <w:lang w:val="es-MX"/>
        </w:rPr>
        <w:t>,</w:t>
      </w:r>
      <w:r w:rsidRPr="3F9BB9D7">
        <w:rPr>
          <w:rFonts w:eastAsiaTheme="minorEastAsia"/>
          <w:lang w:val="es-MX"/>
        </w:rPr>
        <w:t xml:space="preserve"> </w:t>
      </w:r>
      <w:r w:rsidR="6C1459E8" w:rsidRPr="3F9BB9D7">
        <w:rPr>
          <w:rFonts w:eastAsiaTheme="minorEastAsia"/>
          <w:lang w:val="es-MX"/>
        </w:rPr>
        <w:t>destacan los siguientes avances en las medidas comprometidas</w:t>
      </w:r>
      <w:r w:rsidR="2980A3F7" w:rsidRPr="3F9BB9D7">
        <w:rPr>
          <w:rFonts w:eastAsiaTheme="minorEastAsia"/>
          <w:lang w:val="es-MX"/>
        </w:rPr>
        <w:t xml:space="preserve"> por la </w:t>
      </w:r>
      <w:r w:rsidR="2980A3F7" w:rsidRPr="3F9BB9D7">
        <w:rPr>
          <w:rFonts w:eastAsiaTheme="minorEastAsia"/>
          <w:b/>
          <w:bCs/>
          <w:lang w:val="es-MX"/>
        </w:rPr>
        <w:t>Dirección General de Aguas</w:t>
      </w:r>
      <w:r w:rsidR="57DF7B14" w:rsidRPr="3F9BB9D7">
        <w:rPr>
          <w:rFonts w:eastAsiaTheme="minorEastAsia"/>
          <w:b/>
          <w:bCs/>
          <w:lang w:val="es-MX"/>
        </w:rPr>
        <w:t xml:space="preserve"> </w:t>
      </w:r>
      <w:r w:rsidR="57DF7B14" w:rsidRPr="3F9BB9D7">
        <w:rPr>
          <w:rFonts w:eastAsiaTheme="minorEastAsia"/>
          <w:lang w:val="es-MX"/>
        </w:rPr>
        <w:t xml:space="preserve">para avanzar en el </w:t>
      </w:r>
      <w:r w:rsidR="57DF7B14" w:rsidRPr="3F9BB9D7">
        <w:rPr>
          <w:rFonts w:eastAsiaTheme="minorEastAsia"/>
          <w:i/>
          <w:iCs/>
          <w:lang w:val="es-MX"/>
        </w:rPr>
        <w:t>fortalecimiento del marco institucional y legal para la gestión de los recursos hídricos</w:t>
      </w:r>
      <w:r w:rsidRPr="3F9BB9D7">
        <w:rPr>
          <w:rFonts w:eastAsiaTheme="minorEastAsia"/>
          <w:lang w:val="es-MX"/>
        </w:rPr>
        <w:t>:</w:t>
      </w:r>
    </w:p>
    <w:p w14:paraId="5FE71333" w14:textId="279A084A" w:rsidR="6C1459E8" w:rsidRDefault="17E38B0C" w:rsidP="3809F42B">
      <w:pPr>
        <w:pStyle w:val="Prrafodelista"/>
        <w:numPr>
          <w:ilvl w:val="0"/>
          <w:numId w:val="5"/>
        </w:numPr>
        <w:spacing w:after="0" w:line="240" w:lineRule="auto"/>
        <w:jc w:val="both"/>
        <w:rPr>
          <w:rFonts w:eastAsiaTheme="minorEastAsia"/>
        </w:rPr>
      </w:pPr>
      <w:r w:rsidRPr="5609A047">
        <w:rPr>
          <w:rFonts w:eastAsiaTheme="minorEastAsia"/>
          <w:b/>
          <w:bCs/>
        </w:rPr>
        <w:lastRenderedPageBreak/>
        <w:t>Instalación y mejora de estaciones y pozos:</w:t>
      </w:r>
      <w:r w:rsidRPr="5609A047">
        <w:rPr>
          <w:rFonts w:eastAsiaTheme="minorEastAsia"/>
        </w:rPr>
        <w:t xml:space="preserve"> Todas las estaciones previstas en el Programa ya han sido instaladas y están </w:t>
      </w:r>
      <w:r w:rsidR="338590D8" w:rsidRPr="5609A047">
        <w:rPr>
          <w:rFonts w:eastAsiaTheme="minorEastAsia"/>
        </w:rPr>
        <w:t xml:space="preserve">siendo </w:t>
      </w:r>
      <w:r w:rsidRPr="5609A047">
        <w:rPr>
          <w:rFonts w:eastAsiaTheme="minorEastAsia"/>
        </w:rPr>
        <w:t>verifica</w:t>
      </w:r>
      <w:r w:rsidR="6520ADD7" w:rsidRPr="5609A047">
        <w:rPr>
          <w:rFonts w:eastAsiaTheme="minorEastAsia"/>
        </w:rPr>
        <w:t>das</w:t>
      </w:r>
      <w:r w:rsidR="2CFF424F" w:rsidRPr="5609A047">
        <w:rPr>
          <w:rFonts w:eastAsiaTheme="minorEastAsia"/>
        </w:rPr>
        <w:t xml:space="preserve">, de forma </w:t>
      </w:r>
      <w:r w:rsidR="7424ADE6" w:rsidRPr="5609A047">
        <w:rPr>
          <w:rFonts w:eastAsiaTheme="minorEastAsia"/>
        </w:rPr>
        <w:t>gradual</w:t>
      </w:r>
      <w:r w:rsidR="2CFF424F" w:rsidRPr="5609A047">
        <w:rPr>
          <w:rFonts w:eastAsiaTheme="minorEastAsia"/>
        </w:rPr>
        <w:t>,</w:t>
      </w:r>
      <w:r w:rsidRPr="5609A047">
        <w:rPr>
          <w:rFonts w:eastAsiaTheme="minorEastAsia"/>
        </w:rPr>
        <w:t xml:space="preserve"> por parte del Agente Verificador Independiente (AVI) para confirmar su operatividad y la transmisión </w:t>
      </w:r>
      <w:r w:rsidR="2BEFF375" w:rsidRPr="5609A047">
        <w:rPr>
          <w:rFonts w:eastAsiaTheme="minorEastAsia"/>
        </w:rPr>
        <w:t>continúa</w:t>
      </w:r>
      <w:r w:rsidRPr="5609A047">
        <w:rPr>
          <w:rFonts w:eastAsiaTheme="minorEastAsia"/>
        </w:rPr>
        <w:t xml:space="preserve"> de datos. </w:t>
      </w:r>
      <w:r w:rsidR="16027276" w:rsidRPr="5609A047">
        <w:rPr>
          <w:rFonts w:eastAsiaTheme="minorEastAsia"/>
        </w:rPr>
        <w:t>La</w:t>
      </w:r>
      <w:r w:rsidR="3EE0A2E6" w:rsidRPr="5609A047">
        <w:rPr>
          <w:rFonts w:eastAsiaTheme="minorEastAsia"/>
        </w:rPr>
        <w:t>s verificaciones</w:t>
      </w:r>
      <w:r w:rsidR="2F2DE8E2" w:rsidRPr="5609A047">
        <w:rPr>
          <w:rFonts w:eastAsiaTheme="minorEastAsia"/>
        </w:rPr>
        <w:t xml:space="preserve"> </w:t>
      </w:r>
      <w:r w:rsidR="5868C2D1" w:rsidRPr="5609A047">
        <w:rPr>
          <w:rFonts w:eastAsiaTheme="minorEastAsia"/>
        </w:rPr>
        <w:t>que se est</w:t>
      </w:r>
      <w:r w:rsidR="04D228FB" w:rsidRPr="5609A047">
        <w:rPr>
          <w:rFonts w:eastAsiaTheme="minorEastAsia"/>
        </w:rPr>
        <w:t>á</w:t>
      </w:r>
      <w:r w:rsidR="2FEEC5B3" w:rsidRPr="5609A047">
        <w:rPr>
          <w:rFonts w:eastAsiaTheme="minorEastAsia"/>
        </w:rPr>
        <w:t>n</w:t>
      </w:r>
      <w:r w:rsidR="5868C2D1" w:rsidRPr="5609A047">
        <w:rPr>
          <w:rFonts w:eastAsiaTheme="minorEastAsia"/>
        </w:rPr>
        <w:t xml:space="preserve"> llevando a cabo </w:t>
      </w:r>
      <w:r w:rsidR="2F2DE8E2" w:rsidRPr="5609A047">
        <w:rPr>
          <w:rFonts w:eastAsiaTheme="minorEastAsia"/>
        </w:rPr>
        <w:t>permitirá</w:t>
      </w:r>
      <w:r w:rsidR="7D763476" w:rsidRPr="5609A047">
        <w:rPr>
          <w:rFonts w:eastAsiaTheme="minorEastAsia"/>
        </w:rPr>
        <w:t>n</w:t>
      </w:r>
      <w:r w:rsidR="2F2DE8E2" w:rsidRPr="5609A047">
        <w:rPr>
          <w:rFonts w:eastAsiaTheme="minorEastAsia"/>
        </w:rPr>
        <w:t xml:space="preserve"> el desembolso de USD </w:t>
      </w:r>
      <w:r w:rsidR="31DBCCD9" w:rsidRPr="5609A047">
        <w:rPr>
          <w:rFonts w:eastAsiaTheme="minorEastAsia"/>
        </w:rPr>
        <w:t>5</w:t>
      </w:r>
      <w:r w:rsidR="2F2DE8E2" w:rsidRPr="5609A047">
        <w:rPr>
          <w:rFonts w:eastAsiaTheme="minorEastAsia"/>
        </w:rPr>
        <w:t>.</w:t>
      </w:r>
      <w:r w:rsidR="36395A85" w:rsidRPr="5609A047">
        <w:rPr>
          <w:rFonts w:eastAsiaTheme="minorEastAsia"/>
        </w:rPr>
        <w:t>3</w:t>
      </w:r>
      <w:r w:rsidR="2F2DE8E2" w:rsidRPr="5609A047">
        <w:rPr>
          <w:rFonts w:eastAsiaTheme="minorEastAsia"/>
        </w:rPr>
        <w:t xml:space="preserve"> millones </w:t>
      </w:r>
      <w:r w:rsidR="543D0163" w:rsidRPr="5609A047">
        <w:rPr>
          <w:rFonts w:eastAsiaTheme="minorEastAsia"/>
        </w:rPr>
        <w:t xml:space="preserve">para </w:t>
      </w:r>
      <w:r w:rsidR="37698145" w:rsidRPr="5609A047">
        <w:rPr>
          <w:rFonts w:eastAsiaTheme="minorEastAsia"/>
        </w:rPr>
        <w:t>el primer trimestre</w:t>
      </w:r>
      <w:r w:rsidR="04379C11" w:rsidRPr="5609A047">
        <w:rPr>
          <w:rFonts w:eastAsiaTheme="minorEastAsia"/>
        </w:rPr>
        <w:t xml:space="preserve"> 2026</w:t>
      </w:r>
      <w:r w:rsidR="73CD6394" w:rsidRPr="5609A047">
        <w:rPr>
          <w:rFonts w:eastAsiaTheme="minorEastAsia"/>
        </w:rPr>
        <w:t xml:space="preserve"> </w:t>
      </w:r>
      <w:r w:rsidR="04379C11" w:rsidRPr="5609A047">
        <w:rPr>
          <w:rFonts w:eastAsiaTheme="minorEastAsia"/>
        </w:rPr>
        <w:t>(</w:t>
      </w:r>
      <w:r w:rsidR="076E5F6D" w:rsidRPr="5609A047">
        <w:rPr>
          <w:rFonts w:eastAsiaTheme="minorEastAsia"/>
        </w:rPr>
        <w:t>Desembolso proporcional al avance verificado)</w:t>
      </w:r>
      <w:r w:rsidR="3085E99D" w:rsidRPr="5609A047">
        <w:rPr>
          <w:rFonts w:eastAsiaTheme="minorEastAsia"/>
        </w:rPr>
        <w:t>.</w:t>
      </w:r>
    </w:p>
    <w:p w14:paraId="06C336DA" w14:textId="7F0742D1" w:rsidR="3809F42B" w:rsidRDefault="3809F42B" w:rsidP="3809F42B">
      <w:pPr>
        <w:pStyle w:val="Prrafodelista"/>
        <w:spacing w:after="0" w:line="240" w:lineRule="auto"/>
        <w:ind w:left="360" w:hanging="360"/>
        <w:jc w:val="both"/>
        <w:rPr>
          <w:rFonts w:eastAsiaTheme="minorEastAsia"/>
        </w:rPr>
      </w:pPr>
    </w:p>
    <w:p w14:paraId="5D0A7D99" w14:textId="31603E50" w:rsidR="00EB7912" w:rsidRPr="00EB7912" w:rsidRDefault="4078D302" w:rsidP="3809F42B">
      <w:pPr>
        <w:pStyle w:val="Prrafodelista"/>
        <w:spacing w:after="0" w:line="240" w:lineRule="auto"/>
        <w:ind w:left="0"/>
        <w:jc w:val="both"/>
        <w:rPr>
          <w:rFonts w:eastAsiaTheme="minorEastAsia"/>
        </w:rPr>
      </w:pPr>
      <w:r w:rsidRPr="3F9BB9D7">
        <w:rPr>
          <w:rFonts w:eastAsiaTheme="minorEastAsia"/>
        </w:rPr>
        <w:t xml:space="preserve">En la siguiente tabla se presentan </w:t>
      </w:r>
      <w:r w:rsidR="4A97E133" w:rsidRPr="3F9BB9D7">
        <w:rPr>
          <w:rFonts w:eastAsiaTheme="minorEastAsia"/>
        </w:rPr>
        <w:t>los indicadores</w:t>
      </w:r>
      <w:r w:rsidR="48393034" w:rsidRPr="3F9BB9D7">
        <w:rPr>
          <w:rFonts w:eastAsiaTheme="minorEastAsia"/>
        </w:rPr>
        <w:t xml:space="preserve"> </w:t>
      </w:r>
      <w:r w:rsidR="28E886C1" w:rsidRPr="3F9BB9D7">
        <w:rPr>
          <w:rFonts w:eastAsiaTheme="minorEastAsia"/>
        </w:rPr>
        <w:t>del</w:t>
      </w:r>
      <w:r w:rsidRPr="3F9BB9D7">
        <w:rPr>
          <w:rFonts w:eastAsiaTheme="minorEastAsia"/>
        </w:rPr>
        <w:t xml:space="preserve"> </w:t>
      </w:r>
      <w:r w:rsidR="3E186555" w:rsidRPr="3F9BB9D7">
        <w:rPr>
          <w:rFonts w:eastAsiaTheme="minorEastAsia"/>
        </w:rPr>
        <w:t>á</w:t>
      </w:r>
      <w:r w:rsidRPr="3F9BB9D7">
        <w:rPr>
          <w:rFonts w:eastAsiaTheme="minorEastAsia"/>
        </w:rPr>
        <w:t>rea de resultado N°1</w:t>
      </w:r>
      <w:r w:rsidR="46028F49" w:rsidRPr="3F9BB9D7">
        <w:rPr>
          <w:rFonts w:eastAsiaTheme="minorEastAsia"/>
        </w:rPr>
        <w:t xml:space="preserve"> del programa</w:t>
      </w:r>
      <w:r w:rsidR="5913134C" w:rsidRPr="3F9BB9D7">
        <w:rPr>
          <w:rFonts w:eastAsiaTheme="minorEastAsia"/>
        </w:rPr>
        <w:t xml:space="preserve">, incorporados en </w:t>
      </w:r>
      <w:r w:rsidR="458852C9" w:rsidRPr="3F9BB9D7">
        <w:rPr>
          <w:rFonts w:eastAsiaTheme="minorEastAsia"/>
        </w:rPr>
        <w:t>los Ciclos</w:t>
      </w:r>
      <w:r w:rsidR="5913134C" w:rsidRPr="3F9BB9D7">
        <w:rPr>
          <w:rFonts w:eastAsiaTheme="minorEastAsia"/>
        </w:rPr>
        <w:t xml:space="preserve"> de Verificación</w:t>
      </w:r>
      <w:r w:rsidR="1DCDB3A1" w:rsidRPr="3F9BB9D7">
        <w:rPr>
          <w:rFonts w:eastAsiaTheme="minorEastAsia"/>
        </w:rPr>
        <w:t xml:space="preserve"> en curso</w:t>
      </w:r>
      <w:r w:rsidR="5913134C" w:rsidRPr="3F9BB9D7">
        <w:rPr>
          <w:rFonts w:eastAsiaTheme="minorEastAsia"/>
        </w:rPr>
        <w:t>,</w:t>
      </w:r>
      <w:r w:rsidRPr="3F9BB9D7">
        <w:rPr>
          <w:rFonts w:eastAsiaTheme="minorEastAsia"/>
        </w:rPr>
        <w:t xml:space="preserve"> con </w:t>
      </w:r>
      <w:r w:rsidR="42C362B0" w:rsidRPr="3F9BB9D7">
        <w:rPr>
          <w:rFonts w:eastAsiaTheme="minorEastAsia"/>
        </w:rPr>
        <w:t>su</w:t>
      </w:r>
      <w:r w:rsidR="24BF0C49" w:rsidRPr="3F9BB9D7">
        <w:rPr>
          <w:rFonts w:eastAsiaTheme="minorEastAsia"/>
        </w:rPr>
        <w:t xml:space="preserve"> </w:t>
      </w:r>
      <w:r w:rsidRPr="3F9BB9D7">
        <w:rPr>
          <w:rFonts w:eastAsiaTheme="minorEastAsia"/>
        </w:rPr>
        <w:t>correspondiente monto de desembolso</w:t>
      </w:r>
      <w:r w:rsidR="71A57F3A" w:rsidRPr="3F9BB9D7">
        <w:rPr>
          <w:rFonts w:eastAsiaTheme="minorEastAsia"/>
        </w:rPr>
        <w:t xml:space="preserve"> y avance</w:t>
      </w:r>
      <w:r w:rsidRPr="3F9BB9D7">
        <w:rPr>
          <w:rFonts w:eastAsiaTheme="minorEastAsia"/>
        </w:rPr>
        <w:t xml:space="preserve"> en USD</w:t>
      </w:r>
      <w:r w:rsidR="0E7F312D" w:rsidRPr="3F9BB9D7">
        <w:rPr>
          <w:rFonts w:eastAsiaTheme="minorEastAsia"/>
        </w:rPr>
        <w:t>:</w:t>
      </w:r>
    </w:p>
    <w:p w14:paraId="019C370A" w14:textId="67D5841F" w:rsidR="005C4890" w:rsidRPr="00EB7912" w:rsidRDefault="005C4890" w:rsidP="3809F42B">
      <w:pPr>
        <w:pStyle w:val="Prrafodelista"/>
        <w:spacing w:after="0" w:line="240" w:lineRule="auto"/>
        <w:ind w:left="0"/>
        <w:jc w:val="both"/>
        <w:rPr>
          <w:rFonts w:eastAsiaTheme="minorEastAsia"/>
          <w:sz w:val="12"/>
          <w:szCs w:val="12"/>
        </w:rPr>
      </w:pPr>
    </w:p>
    <w:tbl>
      <w:tblPr>
        <w:tblStyle w:val="Tablaconcuadrcula"/>
        <w:tblW w:w="8984"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6A0" w:firstRow="1" w:lastRow="0" w:firstColumn="1" w:lastColumn="0" w:noHBand="1" w:noVBand="1"/>
      </w:tblPr>
      <w:tblGrid>
        <w:gridCol w:w="2090"/>
        <w:gridCol w:w="3180"/>
        <w:gridCol w:w="1284"/>
        <w:gridCol w:w="1117"/>
        <w:gridCol w:w="1313"/>
      </w:tblGrid>
      <w:tr w:rsidR="4CE1DE16" w14:paraId="75ED1CAC" w14:textId="77777777" w:rsidTr="5609A047">
        <w:trPr>
          <w:trHeight w:val="300"/>
        </w:trPr>
        <w:tc>
          <w:tcPr>
            <w:tcW w:w="2090" w:type="dxa"/>
            <w:shd w:val="clear" w:color="auto" w:fill="2E75B5"/>
            <w:tcMar>
              <w:left w:w="45" w:type="dxa"/>
              <w:right w:w="45" w:type="dxa"/>
            </w:tcMar>
            <w:vAlign w:val="center"/>
          </w:tcPr>
          <w:p w14:paraId="1FB707E9" w14:textId="61FB7085" w:rsidR="4CE1DE16" w:rsidRDefault="250927DC" w:rsidP="3809F42B">
            <w:pPr>
              <w:jc w:val="center"/>
              <w:rPr>
                <w:rFonts w:eastAsiaTheme="minorEastAsia"/>
                <w:b/>
                <w:bCs/>
                <w:color w:val="FFFFFF" w:themeColor="background1"/>
                <w:sz w:val="16"/>
                <w:szCs w:val="16"/>
              </w:rPr>
            </w:pPr>
            <w:r w:rsidRPr="3809F42B">
              <w:rPr>
                <w:rFonts w:eastAsiaTheme="minorEastAsia"/>
                <w:b/>
                <w:bCs/>
                <w:color w:val="FFFFFF" w:themeColor="background1"/>
                <w:sz w:val="16"/>
                <w:szCs w:val="16"/>
              </w:rPr>
              <w:t>DLI</w:t>
            </w:r>
          </w:p>
        </w:tc>
        <w:tc>
          <w:tcPr>
            <w:tcW w:w="3180" w:type="dxa"/>
            <w:shd w:val="clear" w:color="auto" w:fill="2E75B5"/>
            <w:tcMar>
              <w:left w:w="45" w:type="dxa"/>
              <w:right w:w="45" w:type="dxa"/>
            </w:tcMar>
            <w:vAlign w:val="center"/>
          </w:tcPr>
          <w:p w14:paraId="3896A08D" w14:textId="73808D68" w:rsidR="4CE1DE16" w:rsidRDefault="250927DC" w:rsidP="3809F42B">
            <w:pPr>
              <w:jc w:val="center"/>
              <w:rPr>
                <w:rFonts w:eastAsiaTheme="minorEastAsia"/>
                <w:b/>
                <w:bCs/>
                <w:color w:val="FFFFFF" w:themeColor="background1"/>
                <w:sz w:val="16"/>
                <w:szCs w:val="16"/>
              </w:rPr>
            </w:pPr>
            <w:r w:rsidRPr="3809F42B">
              <w:rPr>
                <w:rFonts w:eastAsiaTheme="minorEastAsia"/>
                <w:b/>
                <w:bCs/>
                <w:color w:val="FFFFFF" w:themeColor="background1"/>
                <w:sz w:val="16"/>
                <w:szCs w:val="16"/>
              </w:rPr>
              <w:t>SUB-DLI</w:t>
            </w:r>
          </w:p>
        </w:tc>
        <w:tc>
          <w:tcPr>
            <w:tcW w:w="1284" w:type="dxa"/>
            <w:shd w:val="clear" w:color="auto" w:fill="2E75B5"/>
            <w:tcMar>
              <w:left w:w="45" w:type="dxa"/>
              <w:right w:w="45" w:type="dxa"/>
            </w:tcMar>
            <w:vAlign w:val="center"/>
          </w:tcPr>
          <w:p w14:paraId="23CF4BE8" w14:textId="2AFE3219" w:rsidR="4CE1DE16" w:rsidRDefault="250927DC" w:rsidP="3809F42B">
            <w:pPr>
              <w:jc w:val="center"/>
              <w:rPr>
                <w:rFonts w:eastAsiaTheme="minorEastAsia"/>
                <w:b/>
                <w:bCs/>
                <w:color w:val="FFFFFF" w:themeColor="background1"/>
                <w:sz w:val="16"/>
                <w:szCs w:val="16"/>
              </w:rPr>
            </w:pPr>
            <w:r w:rsidRPr="3809F42B">
              <w:rPr>
                <w:rFonts w:eastAsiaTheme="minorEastAsia"/>
                <w:b/>
                <w:bCs/>
                <w:color w:val="FFFFFF" w:themeColor="background1"/>
                <w:sz w:val="16"/>
                <w:szCs w:val="16"/>
              </w:rPr>
              <w:t>Ministerio / Servicio Responsable</w:t>
            </w:r>
          </w:p>
        </w:tc>
        <w:tc>
          <w:tcPr>
            <w:tcW w:w="1117" w:type="dxa"/>
            <w:shd w:val="clear" w:color="auto" w:fill="2E75B5"/>
            <w:tcMar>
              <w:left w:w="45" w:type="dxa"/>
              <w:right w:w="45" w:type="dxa"/>
            </w:tcMar>
            <w:vAlign w:val="center"/>
          </w:tcPr>
          <w:p w14:paraId="151BC17E" w14:textId="7590524D" w:rsidR="4CE1DE16" w:rsidRDefault="250927DC" w:rsidP="3809F42B">
            <w:pPr>
              <w:jc w:val="center"/>
              <w:rPr>
                <w:rFonts w:eastAsiaTheme="minorEastAsia"/>
                <w:b/>
                <w:bCs/>
                <w:color w:val="FFFFFF" w:themeColor="background1"/>
                <w:sz w:val="16"/>
                <w:szCs w:val="16"/>
              </w:rPr>
            </w:pPr>
            <w:r w:rsidRPr="3809F42B">
              <w:rPr>
                <w:rFonts w:eastAsiaTheme="minorEastAsia"/>
                <w:b/>
                <w:bCs/>
                <w:color w:val="FFFFFF" w:themeColor="background1"/>
                <w:sz w:val="16"/>
                <w:szCs w:val="16"/>
              </w:rPr>
              <w:t>Cumplimiento SUB-DLI</w:t>
            </w:r>
          </w:p>
        </w:tc>
        <w:tc>
          <w:tcPr>
            <w:tcW w:w="1313" w:type="dxa"/>
            <w:shd w:val="clear" w:color="auto" w:fill="2E75B5"/>
            <w:tcMar>
              <w:left w:w="45" w:type="dxa"/>
              <w:right w:w="45" w:type="dxa"/>
            </w:tcMar>
            <w:vAlign w:val="center"/>
          </w:tcPr>
          <w:p w14:paraId="3842EC79" w14:textId="72781CAA" w:rsidR="4CE1DE16" w:rsidRDefault="250927DC" w:rsidP="3809F42B">
            <w:pPr>
              <w:jc w:val="center"/>
              <w:rPr>
                <w:rFonts w:eastAsiaTheme="minorEastAsia"/>
                <w:b/>
                <w:bCs/>
                <w:color w:val="FFFFFF" w:themeColor="background1"/>
                <w:sz w:val="16"/>
                <w:szCs w:val="16"/>
              </w:rPr>
            </w:pPr>
            <w:r w:rsidRPr="3809F42B">
              <w:rPr>
                <w:rFonts w:eastAsiaTheme="minorEastAsia"/>
                <w:b/>
                <w:bCs/>
                <w:color w:val="FFFFFF" w:themeColor="background1"/>
                <w:sz w:val="16"/>
                <w:szCs w:val="16"/>
              </w:rPr>
              <w:t>Monto de desembolso USD</w:t>
            </w:r>
          </w:p>
        </w:tc>
      </w:tr>
      <w:tr w:rsidR="4CE1DE16" w14:paraId="0ADBA468" w14:textId="77777777" w:rsidTr="5609A047">
        <w:trPr>
          <w:trHeight w:val="300"/>
        </w:trPr>
        <w:tc>
          <w:tcPr>
            <w:tcW w:w="2090" w:type="dxa"/>
            <w:vMerge w:val="restart"/>
            <w:tcMar>
              <w:left w:w="45" w:type="dxa"/>
              <w:right w:w="45" w:type="dxa"/>
            </w:tcMar>
          </w:tcPr>
          <w:p w14:paraId="36F65155" w14:textId="6C3931FC" w:rsidR="4CE1DE16" w:rsidRDefault="250927DC" w:rsidP="3809F42B">
            <w:pPr>
              <w:jc w:val="both"/>
              <w:rPr>
                <w:rFonts w:eastAsiaTheme="minorEastAsia"/>
                <w:sz w:val="16"/>
                <w:szCs w:val="16"/>
              </w:rPr>
            </w:pPr>
            <w:r w:rsidRPr="3809F42B">
              <w:rPr>
                <w:rFonts w:eastAsiaTheme="minorEastAsia"/>
                <w:sz w:val="16"/>
                <w:szCs w:val="16"/>
              </w:rPr>
              <w:t>3. Desarrollo de herramientas para mejorar el conocimiento sobre la cantidad y calidad de las aguas superficiales y subterráneas (Número)</w:t>
            </w:r>
          </w:p>
        </w:tc>
        <w:tc>
          <w:tcPr>
            <w:tcW w:w="3180" w:type="dxa"/>
            <w:tcMar>
              <w:left w:w="45" w:type="dxa"/>
              <w:right w:w="45" w:type="dxa"/>
            </w:tcMar>
          </w:tcPr>
          <w:p w14:paraId="1789E50F" w14:textId="6733F9FA" w:rsidR="4CE1DE16" w:rsidRDefault="250927DC" w:rsidP="3809F42B">
            <w:pPr>
              <w:jc w:val="both"/>
              <w:rPr>
                <w:rFonts w:eastAsiaTheme="minorEastAsia"/>
                <w:sz w:val="16"/>
                <w:szCs w:val="16"/>
              </w:rPr>
            </w:pPr>
            <w:r w:rsidRPr="3809F42B">
              <w:rPr>
                <w:rFonts w:eastAsiaTheme="minorEastAsia"/>
                <w:sz w:val="16"/>
                <w:szCs w:val="16"/>
              </w:rPr>
              <w:t>3.1. 140 estaciones de monitoreo fluviométrico y meteorológico modernizadas con transmisión automatizada de datos (Número)</w:t>
            </w:r>
          </w:p>
        </w:tc>
        <w:tc>
          <w:tcPr>
            <w:tcW w:w="1284" w:type="dxa"/>
            <w:tcMar>
              <w:left w:w="45" w:type="dxa"/>
              <w:right w:w="45" w:type="dxa"/>
            </w:tcMar>
            <w:vAlign w:val="center"/>
          </w:tcPr>
          <w:p w14:paraId="24AF3BF1" w14:textId="19FE5078" w:rsidR="4CE1DE16" w:rsidRDefault="250927DC" w:rsidP="3809F42B">
            <w:pPr>
              <w:jc w:val="center"/>
              <w:rPr>
                <w:rFonts w:eastAsiaTheme="minorEastAsia"/>
                <w:sz w:val="16"/>
                <w:szCs w:val="16"/>
              </w:rPr>
            </w:pPr>
            <w:r w:rsidRPr="3809F42B">
              <w:rPr>
                <w:rFonts w:eastAsiaTheme="minorEastAsia"/>
                <w:sz w:val="16"/>
                <w:szCs w:val="16"/>
              </w:rPr>
              <w:t>MOP (DGA)</w:t>
            </w:r>
          </w:p>
        </w:tc>
        <w:tc>
          <w:tcPr>
            <w:tcW w:w="1117" w:type="dxa"/>
            <w:tcMar>
              <w:left w:w="45" w:type="dxa"/>
              <w:right w:w="45" w:type="dxa"/>
            </w:tcMar>
            <w:vAlign w:val="center"/>
          </w:tcPr>
          <w:p w14:paraId="098BA91C" w14:textId="6A1B8AF2" w:rsidR="4CE1DE16" w:rsidRDefault="250927DC" w:rsidP="3809F42B">
            <w:pPr>
              <w:jc w:val="center"/>
              <w:rPr>
                <w:rFonts w:eastAsiaTheme="minorEastAsia"/>
                <w:sz w:val="16"/>
                <w:szCs w:val="16"/>
              </w:rPr>
            </w:pPr>
            <w:r w:rsidRPr="3809F42B">
              <w:rPr>
                <w:rFonts w:eastAsiaTheme="minorEastAsia"/>
                <w:sz w:val="16"/>
                <w:szCs w:val="16"/>
              </w:rPr>
              <w:t>100%</w:t>
            </w:r>
          </w:p>
        </w:tc>
        <w:tc>
          <w:tcPr>
            <w:tcW w:w="1313" w:type="dxa"/>
            <w:tcMar>
              <w:left w:w="45" w:type="dxa"/>
              <w:right w:w="45" w:type="dxa"/>
            </w:tcMar>
            <w:vAlign w:val="center"/>
          </w:tcPr>
          <w:p w14:paraId="7713C8B6" w14:textId="60E92171" w:rsidR="4CE1DE16" w:rsidRDefault="250927DC" w:rsidP="3809F42B">
            <w:pPr>
              <w:jc w:val="center"/>
              <w:rPr>
                <w:rFonts w:eastAsiaTheme="minorEastAsia"/>
                <w:sz w:val="16"/>
                <w:szCs w:val="16"/>
              </w:rPr>
            </w:pPr>
            <w:r w:rsidRPr="3809F42B">
              <w:rPr>
                <w:rFonts w:eastAsiaTheme="minorEastAsia"/>
                <w:sz w:val="16"/>
                <w:szCs w:val="16"/>
              </w:rPr>
              <w:t>5.000.000</w:t>
            </w:r>
          </w:p>
        </w:tc>
      </w:tr>
      <w:tr w:rsidR="4CE1DE16" w14:paraId="34415997" w14:textId="77777777" w:rsidTr="5609A047">
        <w:trPr>
          <w:trHeight w:val="300"/>
        </w:trPr>
        <w:tc>
          <w:tcPr>
            <w:tcW w:w="2090" w:type="dxa"/>
            <w:vMerge/>
            <w:vAlign w:val="center"/>
          </w:tcPr>
          <w:p w14:paraId="3AFD5DE1" w14:textId="77777777" w:rsidR="00075942" w:rsidRDefault="00075942"/>
        </w:tc>
        <w:tc>
          <w:tcPr>
            <w:tcW w:w="3180" w:type="dxa"/>
            <w:tcMar>
              <w:left w:w="45" w:type="dxa"/>
              <w:right w:w="45" w:type="dxa"/>
            </w:tcMar>
          </w:tcPr>
          <w:p w14:paraId="75119AB6" w14:textId="63BE81A8" w:rsidR="4CE1DE16" w:rsidRDefault="250927DC" w:rsidP="3809F42B">
            <w:pPr>
              <w:jc w:val="both"/>
              <w:rPr>
                <w:rFonts w:eastAsiaTheme="minorEastAsia"/>
                <w:sz w:val="16"/>
                <w:szCs w:val="16"/>
              </w:rPr>
            </w:pPr>
            <w:r w:rsidRPr="3809F42B">
              <w:rPr>
                <w:rFonts w:eastAsiaTheme="minorEastAsia"/>
                <w:sz w:val="16"/>
                <w:szCs w:val="16"/>
              </w:rPr>
              <w:t>3.2. Se han instalado 90 nuevos pozos instrumentados que transmiten datos en línea. (Número)</w:t>
            </w:r>
          </w:p>
        </w:tc>
        <w:tc>
          <w:tcPr>
            <w:tcW w:w="1284" w:type="dxa"/>
            <w:tcMar>
              <w:left w:w="45" w:type="dxa"/>
              <w:right w:w="45" w:type="dxa"/>
            </w:tcMar>
            <w:vAlign w:val="center"/>
          </w:tcPr>
          <w:p w14:paraId="20B55207" w14:textId="5E6E0900" w:rsidR="4CE1DE16" w:rsidRDefault="250927DC" w:rsidP="3809F42B">
            <w:pPr>
              <w:jc w:val="center"/>
              <w:rPr>
                <w:rFonts w:eastAsiaTheme="minorEastAsia"/>
                <w:sz w:val="16"/>
                <w:szCs w:val="16"/>
              </w:rPr>
            </w:pPr>
            <w:r w:rsidRPr="3809F42B">
              <w:rPr>
                <w:rFonts w:eastAsiaTheme="minorEastAsia"/>
                <w:sz w:val="16"/>
                <w:szCs w:val="16"/>
              </w:rPr>
              <w:t>MOP (DGA)</w:t>
            </w:r>
          </w:p>
        </w:tc>
        <w:tc>
          <w:tcPr>
            <w:tcW w:w="1117" w:type="dxa"/>
            <w:tcMar>
              <w:left w:w="45" w:type="dxa"/>
              <w:right w:w="45" w:type="dxa"/>
            </w:tcMar>
            <w:vAlign w:val="center"/>
          </w:tcPr>
          <w:p w14:paraId="42360C0D" w14:textId="4DB584F2" w:rsidR="4CE1DE16" w:rsidRDefault="250927DC" w:rsidP="3809F42B">
            <w:pPr>
              <w:jc w:val="center"/>
              <w:rPr>
                <w:rFonts w:eastAsiaTheme="minorEastAsia"/>
                <w:sz w:val="16"/>
                <w:szCs w:val="16"/>
              </w:rPr>
            </w:pPr>
            <w:r w:rsidRPr="3809F42B">
              <w:rPr>
                <w:rFonts w:eastAsiaTheme="minorEastAsia"/>
                <w:sz w:val="16"/>
                <w:szCs w:val="16"/>
              </w:rPr>
              <w:t>100%</w:t>
            </w:r>
          </w:p>
        </w:tc>
        <w:tc>
          <w:tcPr>
            <w:tcW w:w="1313" w:type="dxa"/>
            <w:tcMar>
              <w:left w:w="45" w:type="dxa"/>
              <w:right w:w="45" w:type="dxa"/>
            </w:tcMar>
            <w:vAlign w:val="center"/>
          </w:tcPr>
          <w:p w14:paraId="03526D62" w14:textId="27A951CA" w:rsidR="4CE1DE16" w:rsidRDefault="250927DC" w:rsidP="3809F42B">
            <w:pPr>
              <w:jc w:val="center"/>
              <w:rPr>
                <w:rFonts w:eastAsiaTheme="minorEastAsia"/>
                <w:sz w:val="16"/>
                <w:szCs w:val="16"/>
              </w:rPr>
            </w:pPr>
            <w:r w:rsidRPr="3809F42B">
              <w:rPr>
                <w:rFonts w:eastAsiaTheme="minorEastAsia"/>
                <w:sz w:val="16"/>
                <w:szCs w:val="16"/>
              </w:rPr>
              <w:t>10.000.000</w:t>
            </w:r>
          </w:p>
        </w:tc>
      </w:tr>
    </w:tbl>
    <w:p w14:paraId="6FDD9484" w14:textId="4D459C01" w:rsidR="000D5210" w:rsidRPr="00EB7912" w:rsidRDefault="5F8BA531" w:rsidP="3809F42B">
      <w:pPr>
        <w:pStyle w:val="Ttulo1"/>
        <w:numPr>
          <w:ilvl w:val="0"/>
          <w:numId w:val="0"/>
        </w:numPr>
        <w:spacing w:line="240" w:lineRule="auto"/>
        <w:rPr>
          <w:rFonts w:asciiTheme="minorHAnsi" w:eastAsiaTheme="minorEastAsia" w:hAnsiTheme="minorHAnsi" w:cstheme="minorBidi"/>
          <w:b/>
          <w:bCs/>
          <w:lang w:val="es-MX"/>
        </w:rPr>
      </w:pPr>
      <w:r w:rsidRPr="3809F42B">
        <w:rPr>
          <w:rFonts w:asciiTheme="minorHAnsi" w:eastAsiaTheme="minorEastAsia" w:hAnsiTheme="minorHAnsi" w:cstheme="minorBidi"/>
          <w:b/>
          <w:bCs/>
          <w:color w:val="1F4E79" w:themeColor="accent1" w:themeShade="80"/>
          <w:sz w:val="24"/>
          <w:szCs w:val="24"/>
          <w:lang w:val="es-MX"/>
        </w:rPr>
        <w:t xml:space="preserve">Área de Resultado 2: </w:t>
      </w:r>
      <w:r w:rsidRPr="3809F42B">
        <w:rPr>
          <w:rFonts w:asciiTheme="minorHAnsi" w:eastAsiaTheme="minorEastAsia" w:hAnsiTheme="minorHAnsi" w:cstheme="minorBidi"/>
          <w:color w:val="1F4E79" w:themeColor="accent1" w:themeShade="80"/>
          <w:sz w:val="24"/>
          <w:szCs w:val="24"/>
          <w:lang w:val="es-MX"/>
        </w:rPr>
        <w:t>Mejora de la sostenibilidad de los proveedores de servicios de agua y saneamiento rural a través del fortalecimiento institucional y continuación del cierre de brechas de acceso.</w:t>
      </w:r>
    </w:p>
    <w:p w14:paraId="2401F965" w14:textId="77777777" w:rsidR="00EB7912" w:rsidRDefault="00EB7912" w:rsidP="3809F42B">
      <w:pPr>
        <w:spacing w:after="0" w:line="240" w:lineRule="auto"/>
        <w:contextualSpacing/>
        <w:jc w:val="both"/>
        <w:rPr>
          <w:rFonts w:eastAsiaTheme="minorEastAsia"/>
          <w:sz w:val="20"/>
          <w:szCs w:val="20"/>
          <w:lang w:val="es-MX"/>
        </w:rPr>
      </w:pPr>
    </w:p>
    <w:p w14:paraId="3854E5BE" w14:textId="32CDC4BD" w:rsidR="000D5210" w:rsidRPr="00EB7912" w:rsidRDefault="34388E59" w:rsidP="3809F42B">
      <w:pPr>
        <w:spacing w:line="240" w:lineRule="auto"/>
        <w:jc w:val="both"/>
        <w:rPr>
          <w:rFonts w:eastAsiaTheme="minorEastAsia"/>
          <w:lang w:val="es-MX"/>
        </w:rPr>
      </w:pPr>
      <w:r w:rsidRPr="3809F42B">
        <w:rPr>
          <w:rFonts w:eastAsiaTheme="minorEastAsia"/>
          <w:lang w:val="es-MX"/>
        </w:rPr>
        <w:t>En esta área, d</w:t>
      </w:r>
      <w:r w:rsidR="5F8BA531" w:rsidRPr="3809F42B">
        <w:rPr>
          <w:rFonts w:eastAsiaTheme="minorEastAsia"/>
          <w:lang w:val="es-MX"/>
        </w:rPr>
        <w:t>estacan los siguientes avances en las medidas y acciones comprometidas</w:t>
      </w:r>
      <w:r w:rsidR="68BAA487" w:rsidRPr="3809F42B">
        <w:rPr>
          <w:rFonts w:eastAsiaTheme="minorEastAsia"/>
          <w:lang w:val="es-MX"/>
        </w:rPr>
        <w:t xml:space="preserve"> por la </w:t>
      </w:r>
      <w:r w:rsidR="68BAA487" w:rsidRPr="3809F42B">
        <w:rPr>
          <w:rFonts w:eastAsiaTheme="minorEastAsia"/>
          <w:b/>
          <w:bCs/>
          <w:lang w:val="es-MX"/>
        </w:rPr>
        <w:t>Subdirección de Servicios Sanitarios Rurales</w:t>
      </w:r>
      <w:r w:rsidR="16FFEA4F" w:rsidRPr="3809F42B">
        <w:rPr>
          <w:rFonts w:eastAsiaTheme="minorEastAsia"/>
          <w:b/>
          <w:bCs/>
          <w:lang w:val="es-MX"/>
        </w:rPr>
        <w:t xml:space="preserve"> (SSSR)</w:t>
      </w:r>
      <w:r w:rsidR="4D29A7A3" w:rsidRPr="3809F42B">
        <w:rPr>
          <w:rFonts w:eastAsiaTheme="minorEastAsia"/>
          <w:lang w:val="es-MX"/>
        </w:rPr>
        <w:t xml:space="preserve">, </w:t>
      </w:r>
      <w:r w:rsidR="68BAA487" w:rsidRPr="3809F42B">
        <w:rPr>
          <w:rFonts w:eastAsiaTheme="minorEastAsia"/>
          <w:lang w:val="es-MX"/>
        </w:rPr>
        <w:t>dependiente de la D</w:t>
      </w:r>
      <w:r w:rsidR="4D29A7A3" w:rsidRPr="3809F42B">
        <w:rPr>
          <w:rFonts w:eastAsiaTheme="minorEastAsia"/>
          <w:lang w:val="es-MX"/>
        </w:rPr>
        <w:t xml:space="preserve">irección de </w:t>
      </w:r>
      <w:r w:rsidR="68BAA487" w:rsidRPr="3809F42B">
        <w:rPr>
          <w:rFonts w:eastAsiaTheme="minorEastAsia"/>
          <w:lang w:val="es-MX"/>
        </w:rPr>
        <w:t>O</w:t>
      </w:r>
      <w:r w:rsidR="4D29A7A3" w:rsidRPr="3809F42B">
        <w:rPr>
          <w:rFonts w:eastAsiaTheme="minorEastAsia"/>
          <w:lang w:val="es-MX"/>
        </w:rPr>
        <w:t xml:space="preserve">bras Hidráulicas, para </w:t>
      </w:r>
      <w:r w:rsidR="4D29A7A3" w:rsidRPr="3809F42B">
        <w:rPr>
          <w:rFonts w:eastAsiaTheme="minorEastAsia"/>
          <w:i/>
          <w:iCs/>
          <w:lang w:val="es-MX"/>
        </w:rPr>
        <w:t>asegurar el derecho humano al agua y el saneamiento en zonas rurales</w:t>
      </w:r>
      <w:r w:rsidR="5F8BA531" w:rsidRPr="3809F42B">
        <w:rPr>
          <w:rFonts w:eastAsiaTheme="minorEastAsia"/>
          <w:lang w:val="es-MX"/>
        </w:rPr>
        <w:t>:</w:t>
      </w:r>
    </w:p>
    <w:p w14:paraId="1CD21D25" w14:textId="7DFA45E0" w:rsidR="5AFAB4EC" w:rsidRDefault="59F81B6A" w:rsidP="3809F42B">
      <w:pPr>
        <w:pStyle w:val="Prrafodelista"/>
        <w:numPr>
          <w:ilvl w:val="0"/>
          <w:numId w:val="3"/>
        </w:numPr>
        <w:spacing w:after="0" w:line="240" w:lineRule="auto"/>
        <w:jc w:val="both"/>
        <w:rPr>
          <w:rFonts w:eastAsiaTheme="minorEastAsia"/>
        </w:rPr>
      </w:pPr>
      <w:r w:rsidRPr="3809F42B">
        <w:rPr>
          <w:rFonts w:eastAsiaTheme="minorEastAsia"/>
        </w:rPr>
        <w:t>Cierre de brechas de acceso a agua rural: Las obras avanzan según la programación de</w:t>
      </w:r>
      <w:r w:rsidR="354F394C" w:rsidRPr="5609A047">
        <w:rPr>
          <w:rFonts w:eastAsiaTheme="minorEastAsia"/>
        </w:rPr>
        <w:t xml:space="preserve"> </w:t>
      </w:r>
      <w:r w:rsidRPr="5609A047">
        <w:rPr>
          <w:rFonts w:eastAsiaTheme="minorEastAsia"/>
        </w:rPr>
        <w:t>l</w:t>
      </w:r>
      <w:r w:rsidR="5B720385" w:rsidRPr="5609A047">
        <w:rPr>
          <w:rFonts w:eastAsiaTheme="minorEastAsia"/>
        </w:rPr>
        <w:t>a</w:t>
      </w:r>
      <w:r w:rsidRPr="5609A047">
        <w:rPr>
          <w:rFonts w:eastAsiaTheme="minorEastAsia"/>
        </w:rPr>
        <w:t xml:space="preserve"> SS</w:t>
      </w:r>
      <w:r w:rsidR="5A015CD8" w:rsidRPr="5609A047">
        <w:rPr>
          <w:rFonts w:eastAsiaTheme="minorEastAsia"/>
        </w:rPr>
        <w:t>S</w:t>
      </w:r>
      <w:r w:rsidRPr="5609A047">
        <w:rPr>
          <w:rFonts w:eastAsiaTheme="minorEastAsia"/>
        </w:rPr>
        <w:t>R. Las obras completadas a la fecha</w:t>
      </w:r>
      <w:r w:rsidR="52669C59" w:rsidRPr="5609A047">
        <w:rPr>
          <w:rFonts w:eastAsiaTheme="minorEastAsia"/>
        </w:rPr>
        <w:t xml:space="preserve"> </w:t>
      </w:r>
      <w:r w:rsidRPr="5609A047">
        <w:rPr>
          <w:rFonts w:eastAsiaTheme="minorEastAsia"/>
        </w:rPr>
        <w:t xml:space="preserve">se estiman beneficien a unas </w:t>
      </w:r>
      <w:r w:rsidR="6549CE6D" w:rsidRPr="5609A047">
        <w:rPr>
          <w:rFonts w:eastAsiaTheme="minorEastAsia"/>
        </w:rPr>
        <w:t>40.200</w:t>
      </w:r>
      <w:r w:rsidRPr="5609A047">
        <w:rPr>
          <w:rFonts w:eastAsiaTheme="minorEastAsia"/>
        </w:rPr>
        <w:t xml:space="preserve"> personas</w:t>
      </w:r>
      <w:r w:rsidR="5AFAB4EC" w:rsidRPr="5609A047">
        <w:rPr>
          <w:rStyle w:val="Refdenotaalpie"/>
          <w:rFonts w:eastAsiaTheme="minorEastAsia"/>
        </w:rPr>
        <w:footnoteReference w:id="3"/>
      </w:r>
      <w:r w:rsidRPr="5609A047">
        <w:rPr>
          <w:rFonts w:eastAsiaTheme="minorEastAsia"/>
        </w:rPr>
        <w:t xml:space="preserve">, alcanzando un total de 13 regiones y completando un </w:t>
      </w:r>
      <w:r w:rsidR="7B1EEC4F" w:rsidRPr="5609A047">
        <w:rPr>
          <w:rFonts w:eastAsiaTheme="minorEastAsia"/>
        </w:rPr>
        <w:t>40</w:t>
      </w:r>
      <w:r w:rsidRPr="5609A047">
        <w:rPr>
          <w:rFonts w:eastAsiaTheme="minorEastAsia"/>
        </w:rPr>
        <w:t xml:space="preserve">% de cumplimiento del indicador. </w:t>
      </w:r>
      <w:r w:rsidR="27516CB2" w:rsidRPr="5609A047">
        <w:rPr>
          <w:rFonts w:eastAsiaTheme="minorEastAsia"/>
        </w:rPr>
        <w:t>Su verificación,</w:t>
      </w:r>
      <w:r w:rsidR="667C876D" w:rsidRPr="5609A047">
        <w:rPr>
          <w:rFonts w:eastAsiaTheme="minorEastAsia"/>
        </w:rPr>
        <w:t xml:space="preserve"> </w:t>
      </w:r>
      <w:r w:rsidR="27516CB2" w:rsidRPr="5609A047">
        <w:rPr>
          <w:rFonts w:eastAsiaTheme="minorEastAsia"/>
        </w:rPr>
        <w:t xml:space="preserve">planificada para el </w:t>
      </w:r>
      <w:r w:rsidR="03C9309C" w:rsidRPr="5609A047">
        <w:rPr>
          <w:rFonts w:eastAsiaTheme="minorEastAsia"/>
        </w:rPr>
        <w:t>2026, equivaldría</w:t>
      </w:r>
      <w:r w:rsidRPr="5609A047">
        <w:rPr>
          <w:rFonts w:eastAsiaTheme="minorEastAsia"/>
        </w:rPr>
        <w:t xml:space="preserve"> a un desembolso de aproximadamente USD 1</w:t>
      </w:r>
      <w:r w:rsidR="234D2130" w:rsidRPr="5609A047">
        <w:rPr>
          <w:rFonts w:eastAsiaTheme="minorEastAsia"/>
        </w:rPr>
        <w:t>8</w:t>
      </w:r>
      <w:r w:rsidRPr="5609A047">
        <w:rPr>
          <w:rFonts w:eastAsiaTheme="minorEastAsia"/>
        </w:rPr>
        <w:t xml:space="preserve"> millones.</w:t>
      </w:r>
    </w:p>
    <w:p w14:paraId="1F9E85DB" w14:textId="6290C3E7" w:rsidR="129C33C4" w:rsidRDefault="129C33C4" w:rsidP="3809F42B">
      <w:pPr>
        <w:pStyle w:val="Prrafodelista"/>
        <w:spacing w:after="0" w:line="240" w:lineRule="auto"/>
        <w:jc w:val="both"/>
        <w:rPr>
          <w:rFonts w:eastAsiaTheme="minorEastAsia"/>
        </w:rPr>
      </w:pPr>
    </w:p>
    <w:p w14:paraId="49A2C0B9" w14:textId="5B4A9605" w:rsidR="2EE9BEAA" w:rsidRDefault="389F38E3" w:rsidP="3809F42B">
      <w:pPr>
        <w:pStyle w:val="Prrafodelista"/>
        <w:numPr>
          <w:ilvl w:val="0"/>
          <w:numId w:val="3"/>
        </w:numPr>
        <w:spacing w:after="0" w:line="240" w:lineRule="auto"/>
        <w:jc w:val="both"/>
        <w:rPr>
          <w:rFonts w:eastAsiaTheme="minorEastAsia"/>
        </w:rPr>
      </w:pPr>
      <w:r w:rsidRPr="5609A047">
        <w:rPr>
          <w:rFonts w:eastAsiaTheme="minorEastAsia"/>
        </w:rPr>
        <w:t>Abastecimiento de agua y saneamiento</w:t>
      </w:r>
      <w:r w:rsidR="2899314E" w:rsidRPr="5609A047">
        <w:rPr>
          <w:rFonts w:eastAsiaTheme="minorEastAsia"/>
        </w:rPr>
        <w:t xml:space="preserve"> </w:t>
      </w:r>
      <w:r w:rsidRPr="5609A047">
        <w:rPr>
          <w:rFonts w:eastAsiaTheme="minorEastAsia"/>
        </w:rPr>
        <w:t xml:space="preserve">rural: </w:t>
      </w:r>
      <w:r w:rsidR="4C13779B" w:rsidRPr="5609A047">
        <w:rPr>
          <w:rFonts w:eastAsiaTheme="minorEastAsia"/>
        </w:rPr>
        <w:t>Mediante resolución exenta N°6562, el 17 de diciembre 2025 se aprueba, por parte de la S</w:t>
      </w:r>
      <w:r w:rsidR="06C6E393" w:rsidRPr="5609A047">
        <w:rPr>
          <w:rFonts w:eastAsiaTheme="minorEastAsia"/>
        </w:rPr>
        <w:t>ubdirección de Servicios Sanitarios Rurales</w:t>
      </w:r>
      <w:r w:rsidR="4C13779B" w:rsidRPr="5609A047">
        <w:rPr>
          <w:rFonts w:eastAsiaTheme="minorEastAsia"/>
        </w:rPr>
        <w:t xml:space="preserve">, la </w:t>
      </w:r>
      <w:r w:rsidRPr="5609A047">
        <w:rPr>
          <w:rFonts w:eastAsiaTheme="minorEastAsia"/>
        </w:rPr>
        <w:t xml:space="preserve">línea base </w:t>
      </w:r>
      <w:r w:rsidR="268DC9EB" w:rsidRPr="5609A047">
        <w:rPr>
          <w:rFonts w:eastAsiaTheme="minorEastAsia"/>
        </w:rPr>
        <w:t xml:space="preserve">de caracterización e información </w:t>
      </w:r>
      <w:r w:rsidRPr="5609A047">
        <w:rPr>
          <w:rFonts w:eastAsiaTheme="minorEastAsia"/>
        </w:rPr>
        <w:t>sobre la situación de la prestación de servicios de abastecimiento de agua y saneamiento en zonas rurales</w:t>
      </w:r>
      <w:r w:rsidR="3D69046A" w:rsidRPr="5609A047">
        <w:rPr>
          <w:rFonts w:eastAsiaTheme="minorEastAsia"/>
        </w:rPr>
        <w:t>.</w:t>
      </w:r>
      <w:r w:rsidR="67C0B379" w:rsidRPr="5609A047">
        <w:rPr>
          <w:rFonts w:eastAsiaTheme="minorEastAsia"/>
        </w:rPr>
        <w:t xml:space="preserve"> Su verificación</w:t>
      </w:r>
      <w:r w:rsidR="1027DF3D" w:rsidRPr="5609A047">
        <w:rPr>
          <w:rFonts w:eastAsiaTheme="minorEastAsia"/>
        </w:rPr>
        <w:t xml:space="preserve"> fue incluida dentro del proceso de verificación que se llevará a cabo el primer trimestre 2026</w:t>
      </w:r>
      <w:r w:rsidR="67C0B379" w:rsidRPr="5609A047">
        <w:rPr>
          <w:rFonts w:eastAsiaTheme="minorEastAsia"/>
        </w:rPr>
        <w:t xml:space="preserve"> </w:t>
      </w:r>
      <w:r w:rsidR="39C8319F" w:rsidRPr="5609A047">
        <w:rPr>
          <w:rFonts w:eastAsiaTheme="minorEastAsia"/>
        </w:rPr>
        <w:t xml:space="preserve">y su desembolso </w:t>
      </w:r>
      <w:r w:rsidR="67C0B379" w:rsidRPr="5609A047">
        <w:rPr>
          <w:rFonts w:eastAsiaTheme="minorEastAsia"/>
        </w:rPr>
        <w:t>equivaldr</w:t>
      </w:r>
      <w:r w:rsidR="284834F1" w:rsidRPr="5609A047">
        <w:rPr>
          <w:rFonts w:eastAsiaTheme="minorEastAsia"/>
        </w:rPr>
        <w:t>á</w:t>
      </w:r>
      <w:r w:rsidR="67C0B379" w:rsidRPr="5609A047">
        <w:rPr>
          <w:rFonts w:eastAsiaTheme="minorEastAsia"/>
        </w:rPr>
        <w:t xml:space="preserve"> a </w:t>
      </w:r>
      <w:r w:rsidR="72AB06FD" w:rsidRPr="5609A047">
        <w:rPr>
          <w:rFonts w:eastAsiaTheme="minorEastAsia"/>
        </w:rPr>
        <w:t>USD</w:t>
      </w:r>
      <w:r w:rsidR="67C0B379" w:rsidRPr="5609A047">
        <w:rPr>
          <w:rFonts w:eastAsiaTheme="minorEastAsia"/>
        </w:rPr>
        <w:t xml:space="preserve"> 5 millones.</w:t>
      </w:r>
    </w:p>
    <w:p w14:paraId="4C474FBC" w14:textId="12579870" w:rsidR="3809F42B" w:rsidRDefault="3809F42B" w:rsidP="3809F42B">
      <w:pPr>
        <w:pStyle w:val="Prrafodelista"/>
        <w:spacing w:after="0" w:line="240" w:lineRule="auto"/>
        <w:jc w:val="both"/>
        <w:rPr>
          <w:rFonts w:eastAsiaTheme="minorEastAsia"/>
        </w:rPr>
      </w:pPr>
    </w:p>
    <w:p w14:paraId="79C8C5CE" w14:textId="5EB79473" w:rsidR="7A6142F6" w:rsidRDefault="59F81B6A" w:rsidP="3809F42B">
      <w:pPr>
        <w:pStyle w:val="Prrafodelista"/>
        <w:numPr>
          <w:ilvl w:val="0"/>
          <w:numId w:val="3"/>
        </w:numPr>
        <w:spacing w:after="0" w:line="240" w:lineRule="auto"/>
        <w:jc w:val="both"/>
        <w:rPr>
          <w:rFonts w:eastAsiaTheme="minorEastAsia"/>
        </w:rPr>
      </w:pPr>
      <w:r w:rsidRPr="5609A047">
        <w:rPr>
          <w:rFonts w:eastAsiaTheme="minorEastAsia"/>
        </w:rPr>
        <w:t xml:space="preserve">Pilotos de tratamiento de aguas residuales: </w:t>
      </w:r>
      <w:r w:rsidR="369A90C2" w:rsidRPr="5609A047">
        <w:rPr>
          <w:rFonts w:eastAsiaTheme="minorEastAsia"/>
        </w:rPr>
        <w:t>Ya se han def</w:t>
      </w:r>
      <w:r w:rsidR="615C75EB" w:rsidRPr="5609A047">
        <w:rPr>
          <w:rFonts w:eastAsiaTheme="minorEastAsia"/>
        </w:rPr>
        <w:t>inido</w:t>
      </w:r>
      <w:r w:rsidR="369A90C2" w:rsidRPr="5609A047">
        <w:rPr>
          <w:rFonts w:eastAsiaTheme="minorEastAsia"/>
        </w:rPr>
        <w:t xml:space="preserve"> las ubicaciones de los tres pilotos,</w:t>
      </w:r>
      <w:r w:rsidR="6F3C69AC" w:rsidRPr="5609A047">
        <w:rPr>
          <w:rFonts w:eastAsiaTheme="minorEastAsia"/>
        </w:rPr>
        <w:t xml:space="preserve"> indicador que generó un desembolso por parte del Banco Mundial de</w:t>
      </w:r>
      <w:r w:rsidR="1BCB24B6" w:rsidRPr="5609A047">
        <w:rPr>
          <w:rFonts w:eastAsiaTheme="minorEastAsia"/>
        </w:rPr>
        <w:t xml:space="preserve"> </w:t>
      </w:r>
      <w:r w:rsidR="1BCB24B6" w:rsidRPr="5609A047">
        <w:rPr>
          <w:rFonts w:eastAsiaTheme="minorEastAsia"/>
          <w:lang w:val="es-MX"/>
        </w:rPr>
        <w:t>US$ 3 millones</w:t>
      </w:r>
      <w:r w:rsidR="7C9CCDC5" w:rsidRPr="5609A047">
        <w:rPr>
          <w:rFonts w:eastAsiaTheme="minorEastAsia"/>
        </w:rPr>
        <w:t>,</w:t>
      </w:r>
      <w:r w:rsidR="6F3C69AC" w:rsidRPr="5609A047">
        <w:rPr>
          <w:rFonts w:eastAsiaTheme="minorEastAsia"/>
        </w:rPr>
        <w:t xml:space="preserve"> </w:t>
      </w:r>
      <w:r w:rsidR="369A90C2" w:rsidRPr="5609A047">
        <w:rPr>
          <w:rFonts w:eastAsiaTheme="minorEastAsia"/>
        </w:rPr>
        <w:t xml:space="preserve"> </w:t>
      </w:r>
      <w:r w:rsidR="16188167" w:rsidRPr="5609A047">
        <w:rPr>
          <w:rFonts w:eastAsiaTheme="minorEastAsia"/>
        </w:rPr>
        <w:t xml:space="preserve">por lo que actualmente </w:t>
      </w:r>
      <w:r w:rsidR="369A90C2" w:rsidRPr="5609A047">
        <w:rPr>
          <w:rFonts w:eastAsiaTheme="minorEastAsia"/>
        </w:rPr>
        <w:t>l</w:t>
      </w:r>
      <w:r w:rsidR="593892AA" w:rsidRPr="5609A047">
        <w:rPr>
          <w:rFonts w:eastAsiaTheme="minorEastAsia"/>
        </w:rPr>
        <w:t xml:space="preserve">a </w:t>
      </w:r>
      <w:r w:rsidR="7F74A71A" w:rsidRPr="5609A047">
        <w:rPr>
          <w:rFonts w:eastAsiaTheme="minorEastAsia"/>
        </w:rPr>
        <w:t>S</w:t>
      </w:r>
      <w:r w:rsidR="593892AA" w:rsidRPr="5609A047">
        <w:rPr>
          <w:rFonts w:eastAsiaTheme="minorEastAsia"/>
        </w:rPr>
        <w:t>SSR trabaja en el diseño de</w:t>
      </w:r>
      <w:r w:rsidR="7F60A2D6" w:rsidRPr="5609A047">
        <w:rPr>
          <w:rFonts w:eastAsiaTheme="minorEastAsia"/>
        </w:rPr>
        <w:t xml:space="preserve"> estos</w:t>
      </w:r>
      <w:r w:rsidR="593892AA" w:rsidRPr="5609A047">
        <w:rPr>
          <w:rFonts w:eastAsiaTheme="minorEastAsia"/>
        </w:rPr>
        <w:t xml:space="preserve"> tres (3)</w:t>
      </w:r>
      <w:r w:rsidR="49F9E2A9" w:rsidRPr="5609A047">
        <w:rPr>
          <w:rFonts w:eastAsiaTheme="minorEastAsia"/>
        </w:rPr>
        <w:t xml:space="preserve"> </w:t>
      </w:r>
      <w:r w:rsidR="0B40F867" w:rsidRPr="5609A047">
        <w:rPr>
          <w:rFonts w:eastAsiaTheme="minorEastAsia"/>
        </w:rPr>
        <w:t>P</w:t>
      </w:r>
      <w:r w:rsidR="49F9E2A9" w:rsidRPr="5609A047">
        <w:rPr>
          <w:rFonts w:eastAsiaTheme="minorEastAsia"/>
        </w:rPr>
        <w:t>royectos Piloto de Tecnología Alternativa</w:t>
      </w:r>
      <w:r w:rsidR="593892AA" w:rsidRPr="5609A047">
        <w:rPr>
          <w:rFonts w:eastAsiaTheme="minorEastAsia"/>
        </w:rPr>
        <w:t xml:space="preserve"> </w:t>
      </w:r>
      <w:r w:rsidR="09ED5380" w:rsidRPr="5609A047">
        <w:rPr>
          <w:rFonts w:eastAsiaTheme="minorEastAsia"/>
        </w:rPr>
        <w:t>para el</w:t>
      </w:r>
      <w:r w:rsidR="593892AA" w:rsidRPr="5609A047">
        <w:rPr>
          <w:rFonts w:eastAsiaTheme="minorEastAsia"/>
        </w:rPr>
        <w:t xml:space="preserve"> </w:t>
      </w:r>
      <w:r w:rsidR="6052BA20" w:rsidRPr="5609A047">
        <w:rPr>
          <w:rFonts w:eastAsiaTheme="minorEastAsia"/>
        </w:rPr>
        <w:t>t</w:t>
      </w:r>
      <w:r w:rsidR="593892AA" w:rsidRPr="5609A047">
        <w:rPr>
          <w:rFonts w:eastAsiaTheme="minorEastAsia"/>
        </w:rPr>
        <w:t>ratamiento de Aguas Residuales Rurales</w:t>
      </w:r>
      <w:r w:rsidR="34ECBC4C" w:rsidRPr="5609A047">
        <w:rPr>
          <w:rFonts w:eastAsiaTheme="minorEastAsia"/>
        </w:rPr>
        <w:t>.</w:t>
      </w:r>
      <w:r w:rsidR="13ADF09D" w:rsidRPr="5609A047">
        <w:rPr>
          <w:rFonts w:eastAsiaTheme="minorEastAsia"/>
        </w:rPr>
        <w:t xml:space="preserve"> Su </w:t>
      </w:r>
      <w:r w:rsidR="13ADF09D" w:rsidRPr="5609A047">
        <w:rPr>
          <w:rFonts w:eastAsiaTheme="minorEastAsia"/>
        </w:rPr>
        <w:lastRenderedPageBreak/>
        <w:t>verificación,</w:t>
      </w:r>
      <w:r w:rsidR="1C3C080F" w:rsidRPr="5609A047">
        <w:rPr>
          <w:rFonts w:eastAsiaTheme="minorEastAsia"/>
        </w:rPr>
        <w:t xml:space="preserve"> </w:t>
      </w:r>
      <w:r w:rsidR="13ADF09D" w:rsidRPr="5609A047">
        <w:rPr>
          <w:rFonts w:eastAsiaTheme="minorEastAsia"/>
        </w:rPr>
        <w:t xml:space="preserve">planificada para el </w:t>
      </w:r>
      <w:r w:rsidR="4517CDC2" w:rsidRPr="5609A047">
        <w:rPr>
          <w:rFonts w:eastAsiaTheme="minorEastAsia"/>
        </w:rPr>
        <w:t>2027, equivaldría</w:t>
      </w:r>
      <w:r w:rsidR="13ADF09D" w:rsidRPr="5609A047">
        <w:rPr>
          <w:rFonts w:eastAsiaTheme="minorEastAsia"/>
        </w:rPr>
        <w:t xml:space="preserve"> a un desembolso de aproximadamente US</w:t>
      </w:r>
      <w:r w:rsidR="5EDF9163" w:rsidRPr="5609A047">
        <w:rPr>
          <w:rFonts w:eastAsiaTheme="minorEastAsia"/>
        </w:rPr>
        <w:t>$</w:t>
      </w:r>
      <w:r w:rsidR="13ADF09D" w:rsidRPr="5609A047">
        <w:rPr>
          <w:rFonts w:eastAsiaTheme="minorEastAsia"/>
        </w:rPr>
        <w:t xml:space="preserve"> 3 millones.</w:t>
      </w:r>
    </w:p>
    <w:p w14:paraId="23BF0521" w14:textId="2AAABEF5" w:rsidR="3809F42B" w:rsidRDefault="3809F42B" w:rsidP="3809F42B">
      <w:pPr>
        <w:pStyle w:val="Prrafodelista"/>
        <w:spacing w:after="0" w:line="240" w:lineRule="auto"/>
        <w:jc w:val="both"/>
        <w:rPr>
          <w:rFonts w:eastAsiaTheme="minorEastAsia"/>
        </w:rPr>
      </w:pPr>
    </w:p>
    <w:p w14:paraId="0E6D6757" w14:textId="3962444D" w:rsidR="002256C9" w:rsidRPr="00EB7912" w:rsidRDefault="75555C4B" w:rsidP="3809F42B">
      <w:pPr>
        <w:spacing w:after="0" w:line="240" w:lineRule="auto"/>
        <w:jc w:val="both"/>
      </w:pPr>
      <w:r w:rsidRPr="5609A047">
        <w:rPr>
          <w:rFonts w:eastAsiaTheme="minorEastAsia"/>
        </w:rPr>
        <w:t>En la siguiente tabla se presentan las medidas cumplidas</w:t>
      </w:r>
      <w:r w:rsidR="44DC69D4" w:rsidRPr="5609A047">
        <w:rPr>
          <w:rStyle w:val="Refdenotaalpie"/>
          <w:rFonts w:eastAsiaTheme="minorEastAsia"/>
        </w:rPr>
        <w:footnoteReference w:id="4"/>
      </w:r>
      <w:r w:rsidRPr="5609A047">
        <w:rPr>
          <w:rFonts w:eastAsiaTheme="minorEastAsia"/>
        </w:rPr>
        <w:t xml:space="preserve"> o con avance en su cumplimiento en el área de resultado N°2 con el correspondiente monto de desembolso asociado en US$:</w:t>
      </w:r>
    </w:p>
    <w:p w14:paraId="06D40DF7" w14:textId="749393BA" w:rsidR="3F9BB9D7" w:rsidRDefault="3F9BB9D7" w:rsidP="3F9BB9D7">
      <w:pPr>
        <w:spacing w:after="0" w:line="240" w:lineRule="auto"/>
        <w:jc w:val="both"/>
        <w:rPr>
          <w:rFonts w:eastAsiaTheme="minorEastAsia"/>
        </w:rPr>
      </w:pPr>
    </w:p>
    <w:p w14:paraId="4B94D5A5" w14:textId="11DDC565" w:rsidR="000D5210" w:rsidRPr="00EB7912" w:rsidRDefault="000D5210" w:rsidP="3809F42B">
      <w:pPr>
        <w:spacing w:after="0" w:line="240" w:lineRule="auto"/>
        <w:jc w:val="both"/>
        <w:rPr>
          <w:rFonts w:eastAsiaTheme="minorEastAsia"/>
          <w:sz w:val="12"/>
          <w:szCs w:val="12"/>
          <w:lang w:val="es-MX"/>
        </w:rPr>
      </w:pPr>
    </w:p>
    <w:tbl>
      <w:tblPr>
        <w:tblStyle w:val="Tablaconcuadrcula"/>
        <w:tblW w:w="8938"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6A0" w:firstRow="1" w:lastRow="0" w:firstColumn="1" w:lastColumn="0" w:noHBand="1" w:noVBand="1"/>
      </w:tblPr>
      <w:tblGrid>
        <w:gridCol w:w="2210"/>
        <w:gridCol w:w="2730"/>
        <w:gridCol w:w="1740"/>
        <w:gridCol w:w="960"/>
        <w:gridCol w:w="1298"/>
      </w:tblGrid>
      <w:tr w:rsidR="4CE1DE16" w14:paraId="437BCB21" w14:textId="77777777" w:rsidTr="5609A047">
        <w:trPr>
          <w:trHeight w:val="300"/>
        </w:trPr>
        <w:tc>
          <w:tcPr>
            <w:tcW w:w="2210" w:type="dxa"/>
            <w:shd w:val="clear" w:color="auto" w:fill="2E75B5"/>
            <w:tcMar>
              <w:left w:w="45" w:type="dxa"/>
              <w:right w:w="45" w:type="dxa"/>
            </w:tcMar>
            <w:vAlign w:val="center"/>
          </w:tcPr>
          <w:p w14:paraId="1A373500" w14:textId="098A7573" w:rsidR="4CE1DE16" w:rsidRDefault="250927DC" w:rsidP="3809F42B">
            <w:pPr>
              <w:jc w:val="center"/>
              <w:rPr>
                <w:rFonts w:eastAsiaTheme="minorEastAsia"/>
                <w:b/>
                <w:bCs/>
                <w:color w:val="FFFFFF" w:themeColor="background1"/>
                <w:sz w:val="16"/>
                <w:szCs w:val="16"/>
              </w:rPr>
            </w:pPr>
            <w:r w:rsidRPr="3809F42B">
              <w:rPr>
                <w:rFonts w:eastAsiaTheme="minorEastAsia"/>
                <w:b/>
                <w:bCs/>
                <w:color w:val="FFFFFF" w:themeColor="background1"/>
                <w:sz w:val="16"/>
                <w:szCs w:val="16"/>
              </w:rPr>
              <w:t>DLI</w:t>
            </w:r>
          </w:p>
        </w:tc>
        <w:tc>
          <w:tcPr>
            <w:tcW w:w="2730" w:type="dxa"/>
            <w:shd w:val="clear" w:color="auto" w:fill="2E75B5"/>
            <w:tcMar>
              <w:left w:w="45" w:type="dxa"/>
              <w:right w:w="45" w:type="dxa"/>
            </w:tcMar>
            <w:vAlign w:val="center"/>
          </w:tcPr>
          <w:p w14:paraId="789F18CC" w14:textId="22199202" w:rsidR="4CE1DE16" w:rsidRDefault="250927DC" w:rsidP="3809F42B">
            <w:pPr>
              <w:jc w:val="center"/>
              <w:rPr>
                <w:rFonts w:eastAsiaTheme="minorEastAsia"/>
                <w:b/>
                <w:bCs/>
                <w:color w:val="FFFFFF" w:themeColor="background1"/>
                <w:sz w:val="16"/>
                <w:szCs w:val="16"/>
              </w:rPr>
            </w:pPr>
            <w:r w:rsidRPr="3809F42B">
              <w:rPr>
                <w:rFonts w:eastAsiaTheme="minorEastAsia"/>
                <w:b/>
                <w:bCs/>
                <w:color w:val="FFFFFF" w:themeColor="background1"/>
                <w:sz w:val="16"/>
                <w:szCs w:val="16"/>
              </w:rPr>
              <w:t>SUB-DLI</w:t>
            </w:r>
          </w:p>
        </w:tc>
        <w:tc>
          <w:tcPr>
            <w:tcW w:w="1740" w:type="dxa"/>
            <w:shd w:val="clear" w:color="auto" w:fill="2E75B5"/>
            <w:tcMar>
              <w:left w:w="45" w:type="dxa"/>
              <w:right w:w="45" w:type="dxa"/>
            </w:tcMar>
            <w:vAlign w:val="center"/>
          </w:tcPr>
          <w:p w14:paraId="7EE600C4" w14:textId="7DFF48B6" w:rsidR="4CE1DE16" w:rsidRDefault="250927DC" w:rsidP="3809F42B">
            <w:pPr>
              <w:jc w:val="center"/>
              <w:rPr>
                <w:rFonts w:eastAsiaTheme="minorEastAsia"/>
                <w:b/>
                <w:bCs/>
                <w:color w:val="FFFFFF" w:themeColor="background1"/>
                <w:sz w:val="16"/>
                <w:szCs w:val="16"/>
              </w:rPr>
            </w:pPr>
            <w:r w:rsidRPr="3809F42B">
              <w:rPr>
                <w:rFonts w:eastAsiaTheme="minorEastAsia"/>
                <w:b/>
                <w:bCs/>
                <w:color w:val="FFFFFF" w:themeColor="background1"/>
                <w:sz w:val="16"/>
                <w:szCs w:val="16"/>
              </w:rPr>
              <w:t>Ministerio / Servicio Responsable</w:t>
            </w:r>
          </w:p>
        </w:tc>
        <w:tc>
          <w:tcPr>
            <w:tcW w:w="960" w:type="dxa"/>
            <w:shd w:val="clear" w:color="auto" w:fill="2E75B5"/>
            <w:tcMar>
              <w:left w:w="45" w:type="dxa"/>
              <w:right w:w="45" w:type="dxa"/>
            </w:tcMar>
            <w:vAlign w:val="center"/>
          </w:tcPr>
          <w:p w14:paraId="0A543CDA" w14:textId="2AF5A591" w:rsidR="4CE1DE16" w:rsidRDefault="250927DC" w:rsidP="3809F42B">
            <w:pPr>
              <w:jc w:val="center"/>
              <w:rPr>
                <w:rFonts w:eastAsiaTheme="minorEastAsia"/>
                <w:b/>
                <w:bCs/>
                <w:color w:val="FFFFFF" w:themeColor="background1"/>
                <w:sz w:val="16"/>
                <w:szCs w:val="16"/>
              </w:rPr>
            </w:pPr>
            <w:r w:rsidRPr="3809F42B">
              <w:rPr>
                <w:rFonts w:eastAsiaTheme="minorEastAsia"/>
                <w:b/>
                <w:bCs/>
                <w:color w:val="FFFFFF" w:themeColor="background1"/>
                <w:sz w:val="16"/>
                <w:szCs w:val="16"/>
              </w:rPr>
              <w:t>Cumplimiento SUB-DLI</w:t>
            </w:r>
          </w:p>
        </w:tc>
        <w:tc>
          <w:tcPr>
            <w:tcW w:w="1298" w:type="dxa"/>
            <w:shd w:val="clear" w:color="auto" w:fill="2E75B5"/>
            <w:tcMar>
              <w:left w:w="45" w:type="dxa"/>
              <w:right w:w="45" w:type="dxa"/>
            </w:tcMar>
            <w:vAlign w:val="center"/>
          </w:tcPr>
          <w:p w14:paraId="0DA22DA9" w14:textId="3A8B87E2" w:rsidR="4CE1DE16" w:rsidRDefault="250927DC" w:rsidP="3809F42B">
            <w:pPr>
              <w:jc w:val="center"/>
              <w:rPr>
                <w:rFonts w:eastAsiaTheme="minorEastAsia"/>
                <w:b/>
                <w:bCs/>
                <w:color w:val="FFFFFF" w:themeColor="background1"/>
                <w:sz w:val="16"/>
                <w:szCs w:val="16"/>
              </w:rPr>
            </w:pPr>
            <w:r w:rsidRPr="3809F42B">
              <w:rPr>
                <w:rFonts w:eastAsiaTheme="minorEastAsia"/>
                <w:b/>
                <w:bCs/>
                <w:color w:val="FFFFFF" w:themeColor="background1"/>
                <w:sz w:val="16"/>
                <w:szCs w:val="16"/>
              </w:rPr>
              <w:t>Monto de desembolso USD</w:t>
            </w:r>
          </w:p>
        </w:tc>
      </w:tr>
      <w:tr w:rsidR="4CE1DE16" w14:paraId="32CB3063" w14:textId="77777777" w:rsidTr="5609A047">
        <w:trPr>
          <w:trHeight w:val="300"/>
        </w:trPr>
        <w:tc>
          <w:tcPr>
            <w:tcW w:w="2210" w:type="dxa"/>
            <w:tcMar>
              <w:left w:w="45" w:type="dxa"/>
              <w:right w:w="45" w:type="dxa"/>
            </w:tcMar>
            <w:vAlign w:val="center"/>
          </w:tcPr>
          <w:p w14:paraId="2C646361" w14:textId="4E50F12B" w:rsidR="4CE1DE16" w:rsidRDefault="250927DC" w:rsidP="3809F42B">
            <w:pPr>
              <w:jc w:val="both"/>
              <w:rPr>
                <w:rFonts w:eastAsiaTheme="minorEastAsia"/>
                <w:sz w:val="16"/>
                <w:szCs w:val="16"/>
              </w:rPr>
            </w:pPr>
            <w:r w:rsidRPr="3809F42B">
              <w:rPr>
                <w:rFonts w:eastAsiaTheme="minorEastAsia"/>
                <w:sz w:val="16"/>
                <w:szCs w:val="16"/>
              </w:rPr>
              <w:t>4. Número de personas en el sector rural con acceso a Servicios de Agua Potable Gestionados de Forma Segura (Número)</w:t>
            </w:r>
          </w:p>
        </w:tc>
        <w:tc>
          <w:tcPr>
            <w:tcW w:w="2730" w:type="dxa"/>
            <w:tcMar>
              <w:left w:w="45" w:type="dxa"/>
              <w:right w:w="45" w:type="dxa"/>
            </w:tcMar>
            <w:vAlign w:val="center"/>
          </w:tcPr>
          <w:p w14:paraId="298DFC21" w14:textId="56DBF8E5" w:rsidR="4CE1DE16" w:rsidRDefault="250927DC" w:rsidP="3809F42B">
            <w:pPr>
              <w:jc w:val="both"/>
              <w:rPr>
                <w:rFonts w:eastAsiaTheme="minorEastAsia"/>
                <w:color w:val="202124"/>
                <w:sz w:val="16"/>
                <w:szCs w:val="16"/>
              </w:rPr>
            </w:pPr>
            <w:r w:rsidRPr="3809F42B">
              <w:rPr>
                <w:rFonts w:eastAsiaTheme="minorEastAsia"/>
                <w:color w:val="202124"/>
                <w:sz w:val="16"/>
                <w:szCs w:val="16"/>
              </w:rPr>
              <w:t xml:space="preserve">100.000 personas del sector rural con acceso a Servicios de Agua Potable Gestionados de Forma Segura a través de sistemas de agua </w:t>
            </w:r>
            <w:r w:rsidR="00606634" w:rsidRPr="3809F42B">
              <w:rPr>
                <w:rFonts w:eastAsiaTheme="minorEastAsia"/>
                <w:color w:val="202124"/>
                <w:sz w:val="16"/>
                <w:szCs w:val="16"/>
              </w:rPr>
              <w:t>nueva o rehabilitada</w:t>
            </w:r>
            <w:r w:rsidRPr="3809F42B">
              <w:rPr>
                <w:rFonts w:eastAsiaTheme="minorEastAsia"/>
                <w:color w:val="202124"/>
                <w:sz w:val="16"/>
                <w:szCs w:val="16"/>
              </w:rPr>
              <w:t>.</w:t>
            </w:r>
          </w:p>
        </w:tc>
        <w:tc>
          <w:tcPr>
            <w:tcW w:w="1740" w:type="dxa"/>
            <w:tcMar>
              <w:left w:w="45" w:type="dxa"/>
              <w:right w:w="45" w:type="dxa"/>
            </w:tcMar>
            <w:vAlign w:val="center"/>
          </w:tcPr>
          <w:p w14:paraId="743ECA6F" w14:textId="35ED3299" w:rsidR="4CE1DE16" w:rsidRDefault="250927DC" w:rsidP="3809F42B">
            <w:pPr>
              <w:jc w:val="center"/>
              <w:rPr>
                <w:rFonts w:eastAsiaTheme="minorEastAsia"/>
                <w:sz w:val="16"/>
                <w:szCs w:val="16"/>
              </w:rPr>
            </w:pPr>
            <w:r w:rsidRPr="3809F42B">
              <w:rPr>
                <w:rFonts w:eastAsiaTheme="minorEastAsia"/>
                <w:sz w:val="16"/>
                <w:szCs w:val="16"/>
              </w:rPr>
              <w:t>MOP (DOH - SSR)</w:t>
            </w:r>
          </w:p>
        </w:tc>
        <w:tc>
          <w:tcPr>
            <w:tcW w:w="960" w:type="dxa"/>
            <w:tcMar>
              <w:left w:w="45" w:type="dxa"/>
              <w:right w:w="45" w:type="dxa"/>
            </w:tcMar>
            <w:vAlign w:val="center"/>
          </w:tcPr>
          <w:p w14:paraId="656C1BAB" w14:textId="7827B57D" w:rsidR="4CE1DE16" w:rsidRDefault="65DFD294" w:rsidP="3809F42B">
            <w:pPr>
              <w:jc w:val="right"/>
              <w:rPr>
                <w:rFonts w:eastAsiaTheme="minorEastAsia"/>
                <w:color w:val="202124"/>
                <w:sz w:val="16"/>
                <w:szCs w:val="16"/>
              </w:rPr>
            </w:pPr>
            <w:r w:rsidRPr="5609A047">
              <w:rPr>
                <w:rFonts w:eastAsiaTheme="minorEastAsia"/>
                <w:color w:val="202124"/>
                <w:sz w:val="16"/>
                <w:szCs w:val="16"/>
              </w:rPr>
              <w:t>4</w:t>
            </w:r>
            <w:r w:rsidR="5B6573B9" w:rsidRPr="5609A047">
              <w:rPr>
                <w:rFonts w:eastAsiaTheme="minorEastAsia"/>
                <w:color w:val="202124"/>
                <w:sz w:val="16"/>
                <w:szCs w:val="16"/>
              </w:rPr>
              <w:t>0</w:t>
            </w:r>
            <w:r w:rsidR="7AD505FB" w:rsidRPr="5609A047">
              <w:rPr>
                <w:rFonts w:eastAsiaTheme="minorEastAsia"/>
                <w:color w:val="202124"/>
                <w:sz w:val="16"/>
                <w:szCs w:val="16"/>
              </w:rPr>
              <w:t>%</w:t>
            </w:r>
          </w:p>
        </w:tc>
        <w:tc>
          <w:tcPr>
            <w:tcW w:w="1298" w:type="dxa"/>
            <w:tcMar>
              <w:left w:w="45" w:type="dxa"/>
              <w:right w:w="45" w:type="dxa"/>
            </w:tcMar>
            <w:vAlign w:val="center"/>
          </w:tcPr>
          <w:p w14:paraId="0AA3F12A" w14:textId="2D46E661" w:rsidR="4CE1DE16" w:rsidRDefault="196FCF6D" w:rsidP="00606634">
            <w:r w:rsidRPr="5609A047">
              <w:rPr>
                <w:rFonts w:eastAsiaTheme="minorEastAsia"/>
                <w:sz w:val="16"/>
                <w:szCs w:val="16"/>
              </w:rPr>
              <w:t>45.000.000</w:t>
            </w:r>
          </w:p>
        </w:tc>
      </w:tr>
      <w:tr w:rsidR="3809F42B" w14:paraId="19A1CBC9" w14:textId="77777777" w:rsidTr="5609A047">
        <w:trPr>
          <w:trHeight w:val="890"/>
        </w:trPr>
        <w:tc>
          <w:tcPr>
            <w:tcW w:w="2210" w:type="dxa"/>
            <w:tcMar>
              <w:left w:w="45" w:type="dxa"/>
              <w:right w:w="45" w:type="dxa"/>
            </w:tcMar>
          </w:tcPr>
          <w:p w14:paraId="0E2A4C9C" w14:textId="5C6F6323" w:rsidR="3809F42B" w:rsidRDefault="3809F42B" w:rsidP="3809F42B">
            <w:pPr>
              <w:jc w:val="both"/>
              <w:rPr>
                <w:rFonts w:eastAsiaTheme="minorEastAsia"/>
                <w:color w:val="202124"/>
                <w:sz w:val="16"/>
                <w:szCs w:val="16"/>
              </w:rPr>
            </w:pPr>
            <w:r w:rsidRPr="3809F42B">
              <w:rPr>
                <w:rFonts w:eastAsiaTheme="minorEastAsia"/>
                <w:color w:val="202124"/>
                <w:sz w:val="16"/>
                <w:szCs w:val="16"/>
              </w:rPr>
              <w:t>5. Aprobación de un Plan Estratégico de Abastecimiento de Agua y Saneamiento Rural al 2030 (Sí/No)</w:t>
            </w:r>
          </w:p>
        </w:tc>
        <w:tc>
          <w:tcPr>
            <w:tcW w:w="2730" w:type="dxa"/>
            <w:tcMar>
              <w:left w:w="45" w:type="dxa"/>
              <w:right w:w="45" w:type="dxa"/>
            </w:tcMar>
          </w:tcPr>
          <w:p w14:paraId="70BA6D29" w14:textId="74F1D8BE" w:rsidR="3809F42B" w:rsidRDefault="3809F42B" w:rsidP="3809F42B">
            <w:pPr>
              <w:jc w:val="both"/>
              <w:rPr>
                <w:rFonts w:eastAsiaTheme="minorEastAsia"/>
                <w:color w:val="202124"/>
                <w:sz w:val="16"/>
                <w:szCs w:val="16"/>
              </w:rPr>
            </w:pPr>
            <w:r w:rsidRPr="3809F42B">
              <w:rPr>
                <w:rFonts w:eastAsiaTheme="minorEastAsia"/>
                <w:color w:val="202124"/>
                <w:sz w:val="16"/>
                <w:szCs w:val="16"/>
              </w:rPr>
              <w:t>5.1 SSR aprueba una línea base sobre la situación de la prestación de servicios de abastecimiento de agua y saneamiento en zonas rurales (Sí/No)</w:t>
            </w:r>
          </w:p>
        </w:tc>
        <w:tc>
          <w:tcPr>
            <w:tcW w:w="1740" w:type="dxa"/>
            <w:tcMar>
              <w:left w:w="45" w:type="dxa"/>
              <w:right w:w="45" w:type="dxa"/>
            </w:tcMar>
            <w:vAlign w:val="center"/>
          </w:tcPr>
          <w:p w14:paraId="15FE3C88" w14:textId="74E039CC" w:rsidR="268226C8" w:rsidRDefault="268226C8" w:rsidP="3809F42B">
            <w:pPr>
              <w:jc w:val="center"/>
              <w:rPr>
                <w:rFonts w:eastAsiaTheme="minorEastAsia"/>
                <w:sz w:val="16"/>
                <w:szCs w:val="16"/>
              </w:rPr>
            </w:pPr>
            <w:r w:rsidRPr="3809F42B">
              <w:rPr>
                <w:rFonts w:eastAsiaTheme="minorEastAsia"/>
                <w:sz w:val="16"/>
                <w:szCs w:val="16"/>
              </w:rPr>
              <w:t>MOP (DOH - SSR)</w:t>
            </w:r>
          </w:p>
        </w:tc>
        <w:tc>
          <w:tcPr>
            <w:tcW w:w="960" w:type="dxa"/>
            <w:tcMar>
              <w:left w:w="45" w:type="dxa"/>
              <w:right w:w="45" w:type="dxa"/>
            </w:tcMar>
            <w:vAlign w:val="center"/>
          </w:tcPr>
          <w:p w14:paraId="7A8E4149" w14:textId="06AB238C" w:rsidR="268226C8" w:rsidRDefault="268226C8" w:rsidP="3809F42B">
            <w:pPr>
              <w:jc w:val="right"/>
              <w:rPr>
                <w:rFonts w:eastAsiaTheme="minorEastAsia"/>
                <w:color w:val="202124"/>
                <w:sz w:val="16"/>
                <w:szCs w:val="16"/>
              </w:rPr>
            </w:pPr>
            <w:r w:rsidRPr="3809F42B">
              <w:rPr>
                <w:rFonts w:eastAsiaTheme="minorEastAsia"/>
                <w:color w:val="202124"/>
                <w:sz w:val="16"/>
                <w:szCs w:val="16"/>
              </w:rPr>
              <w:t>100%</w:t>
            </w:r>
          </w:p>
        </w:tc>
        <w:tc>
          <w:tcPr>
            <w:tcW w:w="1298" w:type="dxa"/>
            <w:tcMar>
              <w:left w:w="45" w:type="dxa"/>
              <w:right w:w="45" w:type="dxa"/>
            </w:tcMar>
            <w:vAlign w:val="center"/>
          </w:tcPr>
          <w:p w14:paraId="09F69DA4" w14:textId="2356C928" w:rsidR="268226C8" w:rsidRDefault="268226C8" w:rsidP="00606634">
            <w:pPr>
              <w:rPr>
                <w:rFonts w:eastAsiaTheme="minorEastAsia"/>
                <w:sz w:val="16"/>
                <w:szCs w:val="16"/>
              </w:rPr>
            </w:pPr>
            <w:r w:rsidRPr="3809F42B">
              <w:rPr>
                <w:rFonts w:eastAsiaTheme="minorEastAsia"/>
                <w:sz w:val="16"/>
                <w:szCs w:val="16"/>
              </w:rPr>
              <w:t>5.000.000</w:t>
            </w:r>
          </w:p>
        </w:tc>
      </w:tr>
      <w:tr w:rsidR="4CE1DE16" w14:paraId="02B5C4E7" w14:textId="77777777" w:rsidTr="5609A047">
        <w:trPr>
          <w:trHeight w:val="300"/>
        </w:trPr>
        <w:tc>
          <w:tcPr>
            <w:tcW w:w="2210" w:type="dxa"/>
            <w:tcMar>
              <w:left w:w="45" w:type="dxa"/>
              <w:right w:w="45" w:type="dxa"/>
            </w:tcMar>
            <w:vAlign w:val="center"/>
          </w:tcPr>
          <w:p w14:paraId="5BDABBCF" w14:textId="667F3910" w:rsidR="4CE1DE16" w:rsidRDefault="250927DC" w:rsidP="3809F42B">
            <w:pPr>
              <w:jc w:val="both"/>
              <w:rPr>
                <w:rFonts w:eastAsiaTheme="minorEastAsia"/>
                <w:sz w:val="16"/>
                <w:szCs w:val="16"/>
              </w:rPr>
            </w:pPr>
            <w:r w:rsidRPr="3809F42B">
              <w:rPr>
                <w:rFonts w:eastAsiaTheme="minorEastAsia"/>
                <w:sz w:val="16"/>
                <w:szCs w:val="16"/>
              </w:rPr>
              <w:t>6. Implementación de pilotos de Tecnologías Alternativas Tratamiento</w:t>
            </w:r>
          </w:p>
        </w:tc>
        <w:tc>
          <w:tcPr>
            <w:tcW w:w="2730" w:type="dxa"/>
            <w:tcMar>
              <w:left w:w="45" w:type="dxa"/>
              <w:right w:w="45" w:type="dxa"/>
            </w:tcMar>
            <w:vAlign w:val="center"/>
          </w:tcPr>
          <w:p w14:paraId="47BD28F6" w14:textId="2E66CD34" w:rsidR="4CE1DE16" w:rsidRDefault="4F77255D" w:rsidP="3809F42B">
            <w:pPr>
              <w:jc w:val="both"/>
            </w:pPr>
            <w:r w:rsidRPr="5609A047">
              <w:rPr>
                <w:rFonts w:eastAsiaTheme="minorEastAsia"/>
                <w:sz w:val="16"/>
                <w:szCs w:val="16"/>
              </w:rPr>
              <w:t>6.</w:t>
            </w:r>
            <w:r w:rsidR="29BCDA69" w:rsidRPr="5609A047">
              <w:rPr>
                <w:rFonts w:eastAsiaTheme="minorEastAsia"/>
                <w:sz w:val="16"/>
                <w:szCs w:val="16"/>
              </w:rPr>
              <w:t>1</w:t>
            </w:r>
            <w:r w:rsidRPr="5609A047">
              <w:rPr>
                <w:rFonts w:eastAsiaTheme="minorEastAsia"/>
                <w:sz w:val="16"/>
                <w:szCs w:val="16"/>
              </w:rPr>
              <w:t xml:space="preserve">. </w:t>
            </w:r>
            <w:r w:rsidR="143A4263" w:rsidRPr="5609A047">
              <w:rPr>
                <w:rFonts w:eastAsiaTheme="minorEastAsia"/>
                <w:sz w:val="16"/>
                <w:szCs w:val="16"/>
              </w:rPr>
              <w:t>La SSR identificó lugares para 3 obras piloto de tecnologías alternativas de tratamiento de aguas servidas.</w:t>
            </w:r>
          </w:p>
        </w:tc>
        <w:tc>
          <w:tcPr>
            <w:tcW w:w="1740" w:type="dxa"/>
            <w:tcMar>
              <w:left w:w="45" w:type="dxa"/>
              <w:right w:w="45" w:type="dxa"/>
            </w:tcMar>
            <w:vAlign w:val="center"/>
          </w:tcPr>
          <w:p w14:paraId="38C95106" w14:textId="67AAF755" w:rsidR="4CE1DE16" w:rsidRDefault="250927DC" w:rsidP="3809F42B">
            <w:pPr>
              <w:jc w:val="center"/>
              <w:rPr>
                <w:rFonts w:eastAsiaTheme="minorEastAsia"/>
                <w:sz w:val="16"/>
                <w:szCs w:val="16"/>
              </w:rPr>
            </w:pPr>
            <w:r w:rsidRPr="3809F42B">
              <w:rPr>
                <w:rFonts w:eastAsiaTheme="minorEastAsia"/>
                <w:sz w:val="16"/>
                <w:szCs w:val="16"/>
              </w:rPr>
              <w:t>MOP (DOH - SSR)</w:t>
            </w:r>
          </w:p>
        </w:tc>
        <w:tc>
          <w:tcPr>
            <w:tcW w:w="960" w:type="dxa"/>
            <w:tcMar>
              <w:left w:w="45" w:type="dxa"/>
              <w:right w:w="45" w:type="dxa"/>
            </w:tcMar>
            <w:vAlign w:val="center"/>
          </w:tcPr>
          <w:p w14:paraId="2E2AF583" w14:textId="315EED4A" w:rsidR="4CE1DE16" w:rsidRDefault="250927DC" w:rsidP="3809F42B">
            <w:pPr>
              <w:jc w:val="right"/>
              <w:rPr>
                <w:rFonts w:eastAsiaTheme="minorEastAsia"/>
                <w:color w:val="202124"/>
                <w:sz w:val="16"/>
                <w:szCs w:val="16"/>
              </w:rPr>
            </w:pPr>
            <w:r w:rsidRPr="3809F42B">
              <w:rPr>
                <w:rFonts w:eastAsiaTheme="minorEastAsia"/>
                <w:color w:val="202124"/>
                <w:sz w:val="16"/>
                <w:szCs w:val="16"/>
              </w:rPr>
              <w:t>100%</w:t>
            </w:r>
          </w:p>
        </w:tc>
        <w:tc>
          <w:tcPr>
            <w:tcW w:w="1298" w:type="dxa"/>
            <w:tcMar>
              <w:left w:w="45" w:type="dxa"/>
              <w:right w:w="45" w:type="dxa"/>
            </w:tcMar>
            <w:vAlign w:val="center"/>
          </w:tcPr>
          <w:p w14:paraId="1F8F6338" w14:textId="47F35324" w:rsidR="4CE1DE16" w:rsidRDefault="00744634" w:rsidP="00606634">
            <w:pPr>
              <w:rPr>
                <w:rFonts w:eastAsiaTheme="minorEastAsia"/>
                <w:sz w:val="16"/>
                <w:szCs w:val="16"/>
              </w:rPr>
            </w:pPr>
            <w:r w:rsidRPr="3809F42B">
              <w:rPr>
                <w:rFonts w:eastAsiaTheme="minorEastAsia"/>
                <w:sz w:val="16"/>
                <w:szCs w:val="16"/>
              </w:rPr>
              <w:t>3</w:t>
            </w:r>
            <w:r w:rsidR="250927DC" w:rsidRPr="3809F42B">
              <w:rPr>
                <w:rFonts w:eastAsiaTheme="minorEastAsia"/>
                <w:sz w:val="16"/>
                <w:szCs w:val="16"/>
              </w:rPr>
              <w:t>.000.000</w:t>
            </w:r>
          </w:p>
        </w:tc>
      </w:tr>
      <w:tr w:rsidR="4CE1DE16" w14:paraId="54A424CA" w14:textId="77777777" w:rsidTr="5609A047">
        <w:trPr>
          <w:trHeight w:val="300"/>
        </w:trPr>
        <w:tc>
          <w:tcPr>
            <w:tcW w:w="6680" w:type="dxa"/>
            <w:gridSpan w:val="3"/>
            <w:tcBorders>
              <w:top w:val="single" w:sz="6" w:space="0" w:color="CCCCCC"/>
            </w:tcBorders>
            <w:tcMar>
              <w:left w:w="45" w:type="dxa"/>
              <w:right w:w="45" w:type="dxa"/>
            </w:tcMar>
            <w:vAlign w:val="center"/>
          </w:tcPr>
          <w:p w14:paraId="33564B00" w14:textId="0B3C34FA" w:rsidR="4CE1DE16" w:rsidRDefault="250927DC" w:rsidP="3809F42B">
            <w:pPr>
              <w:jc w:val="center"/>
              <w:rPr>
                <w:rFonts w:eastAsiaTheme="minorEastAsia"/>
                <w:sz w:val="16"/>
                <w:szCs w:val="16"/>
              </w:rPr>
            </w:pPr>
            <w:r w:rsidRPr="3809F42B">
              <w:rPr>
                <w:rFonts w:eastAsiaTheme="minorEastAsia"/>
                <w:sz w:val="16"/>
                <w:szCs w:val="16"/>
              </w:rPr>
              <w:t>TOTAL</w:t>
            </w:r>
          </w:p>
        </w:tc>
        <w:tc>
          <w:tcPr>
            <w:tcW w:w="960" w:type="dxa"/>
            <w:tcMar>
              <w:left w:w="45" w:type="dxa"/>
              <w:right w:w="45" w:type="dxa"/>
            </w:tcMar>
            <w:vAlign w:val="center"/>
          </w:tcPr>
          <w:p w14:paraId="2928B57D" w14:textId="10CEFB07" w:rsidR="4CE1DE16" w:rsidRDefault="4CE1DE16" w:rsidP="3809F42B">
            <w:pPr>
              <w:rPr>
                <w:rFonts w:eastAsiaTheme="minorEastAsia"/>
                <w:sz w:val="16"/>
                <w:szCs w:val="16"/>
              </w:rPr>
            </w:pPr>
          </w:p>
        </w:tc>
        <w:tc>
          <w:tcPr>
            <w:tcW w:w="1298" w:type="dxa"/>
            <w:tcMar>
              <w:left w:w="45" w:type="dxa"/>
              <w:right w:w="45" w:type="dxa"/>
            </w:tcMar>
            <w:vAlign w:val="center"/>
          </w:tcPr>
          <w:p w14:paraId="690346A5" w14:textId="2E4ADE0B" w:rsidR="4CE1DE16" w:rsidRDefault="6A346576" w:rsidP="00606634">
            <w:r w:rsidRPr="5609A047">
              <w:rPr>
                <w:rFonts w:eastAsiaTheme="minorEastAsia"/>
                <w:sz w:val="16"/>
                <w:szCs w:val="16"/>
              </w:rPr>
              <w:t>53.000.000</w:t>
            </w:r>
          </w:p>
        </w:tc>
      </w:tr>
    </w:tbl>
    <w:p w14:paraId="66F9D0F1" w14:textId="267FECC0" w:rsidR="00495999" w:rsidRPr="00EB7912" w:rsidRDefault="01F21F1B" w:rsidP="3809F42B">
      <w:pPr>
        <w:pStyle w:val="Ttulo1"/>
        <w:numPr>
          <w:ilvl w:val="0"/>
          <w:numId w:val="0"/>
        </w:numPr>
        <w:spacing w:line="240" w:lineRule="auto"/>
        <w:jc w:val="both"/>
        <w:rPr>
          <w:rFonts w:asciiTheme="minorHAnsi" w:eastAsiaTheme="minorEastAsia" w:hAnsiTheme="minorHAnsi" w:cstheme="minorBidi"/>
          <w:b/>
          <w:bCs/>
          <w:color w:val="1F4E79" w:themeColor="accent1" w:themeShade="80"/>
          <w:sz w:val="24"/>
          <w:szCs w:val="24"/>
          <w:lang w:val="es-MX"/>
        </w:rPr>
      </w:pPr>
      <w:r w:rsidRPr="3809F42B">
        <w:rPr>
          <w:rFonts w:asciiTheme="minorHAnsi" w:eastAsiaTheme="minorEastAsia" w:hAnsiTheme="minorHAnsi" w:cstheme="minorBidi"/>
          <w:b/>
          <w:bCs/>
          <w:color w:val="1F4E79" w:themeColor="accent1" w:themeShade="80"/>
          <w:sz w:val="24"/>
          <w:szCs w:val="24"/>
          <w:lang w:val="es-MX"/>
        </w:rPr>
        <w:t>Área de Resultado 3</w:t>
      </w:r>
      <w:r w:rsidR="00495999" w:rsidRPr="3809F42B">
        <w:rPr>
          <w:rStyle w:val="Refdenotaalpie"/>
          <w:rFonts w:asciiTheme="minorHAnsi" w:eastAsiaTheme="minorEastAsia" w:hAnsiTheme="minorHAnsi" w:cstheme="minorBidi"/>
          <w:b/>
          <w:bCs/>
          <w:color w:val="1F4E79" w:themeColor="accent1" w:themeShade="80"/>
          <w:sz w:val="24"/>
          <w:szCs w:val="24"/>
          <w:lang w:val="es-MX"/>
        </w:rPr>
        <w:footnoteReference w:id="5"/>
      </w:r>
      <w:r w:rsidRPr="3809F42B">
        <w:rPr>
          <w:rFonts w:asciiTheme="minorHAnsi" w:eastAsiaTheme="minorEastAsia" w:hAnsiTheme="minorHAnsi" w:cstheme="minorBidi"/>
          <w:b/>
          <w:bCs/>
          <w:color w:val="1F4E79" w:themeColor="accent1" w:themeShade="80"/>
          <w:sz w:val="24"/>
          <w:szCs w:val="24"/>
          <w:lang w:val="es-MX"/>
        </w:rPr>
        <w:t xml:space="preserve">: </w:t>
      </w:r>
      <w:r w:rsidRPr="3809F42B">
        <w:rPr>
          <w:rFonts w:asciiTheme="minorHAnsi" w:eastAsiaTheme="minorEastAsia" w:hAnsiTheme="minorHAnsi" w:cstheme="minorBidi"/>
          <w:color w:val="1F4E79" w:themeColor="accent1" w:themeShade="80"/>
          <w:sz w:val="24"/>
          <w:szCs w:val="24"/>
          <w:lang w:val="es-MX"/>
        </w:rPr>
        <w:t>Generación de resiliencia al cambio clim</w:t>
      </w:r>
      <w:r w:rsidR="1841C11E" w:rsidRPr="3809F42B">
        <w:rPr>
          <w:rFonts w:asciiTheme="minorHAnsi" w:eastAsiaTheme="minorEastAsia" w:hAnsiTheme="minorHAnsi" w:cstheme="minorBidi"/>
          <w:color w:val="1F4E79" w:themeColor="accent1" w:themeShade="80"/>
          <w:sz w:val="24"/>
          <w:szCs w:val="24"/>
          <w:lang w:val="es-MX"/>
        </w:rPr>
        <w:t xml:space="preserve">ático mediante el desarrollo de </w:t>
      </w:r>
      <w:r w:rsidRPr="3809F42B">
        <w:rPr>
          <w:rFonts w:asciiTheme="minorHAnsi" w:eastAsiaTheme="minorEastAsia" w:hAnsiTheme="minorHAnsi" w:cstheme="minorBidi"/>
          <w:color w:val="1F4E79" w:themeColor="accent1" w:themeShade="80"/>
          <w:sz w:val="24"/>
          <w:szCs w:val="24"/>
          <w:lang w:val="es-MX"/>
        </w:rPr>
        <w:t>infraestructura verde y gris.</w:t>
      </w:r>
    </w:p>
    <w:p w14:paraId="30D78900" w14:textId="77777777" w:rsidR="00EB7912" w:rsidRDefault="00EB7912" w:rsidP="3809F42B">
      <w:pPr>
        <w:spacing w:line="240" w:lineRule="auto"/>
        <w:contextualSpacing/>
        <w:jc w:val="both"/>
        <w:rPr>
          <w:rFonts w:eastAsiaTheme="minorEastAsia"/>
          <w:sz w:val="12"/>
          <w:szCs w:val="12"/>
          <w:lang w:val="es-MX"/>
        </w:rPr>
      </w:pPr>
    </w:p>
    <w:p w14:paraId="1ABB1F83" w14:textId="57EAAA48" w:rsidR="00495999" w:rsidRPr="00EB7912" w:rsidRDefault="4141C79B" w:rsidP="3809F42B">
      <w:pPr>
        <w:spacing w:line="240" w:lineRule="auto"/>
        <w:jc w:val="both"/>
        <w:rPr>
          <w:rFonts w:eastAsiaTheme="minorEastAsia"/>
          <w:lang w:val="es-MX"/>
        </w:rPr>
      </w:pPr>
      <w:r w:rsidRPr="3809F42B">
        <w:rPr>
          <w:rFonts w:eastAsiaTheme="minorEastAsia"/>
          <w:lang w:val="es-MX"/>
        </w:rPr>
        <w:t>D</w:t>
      </w:r>
      <w:r w:rsidR="2768DD1F" w:rsidRPr="3809F42B">
        <w:rPr>
          <w:rFonts w:eastAsiaTheme="minorEastAsia"/>
          <w:lang w:val="es-MX"/>
        </w:rPr>
        <w:t>estacan los siguientes avances en las medidas y acciones comprometidas</w:t>
      </w:r>
      <w:r w:rsidR="68BAA487" w:rsidRPr="3809F42B">
        <w:rPr>
          <w:rFonts w:eastAsiaTheme="minorEastAsia"/>
          <w:lang w:val="es-MX"/>
        </w:rPr>
        <w:t xml:space="preserve"> por la </w:t>
      </w:r>
      <w:r w:rsidR="68BAA487" w:rsidRPr="3809F42B">
        <w:rPr>
          <w:rFonts w:eastAsiaTheme="minorEastAsia"/>
          <w:b/>
          <w:bCs/>
          <w:lang w:val="es-MX"/>
        </w:rPr>
        <w:t>Dirección de Obras Hidráulicas</w:t>
      </w:r>
      <w:r w:rsidR="68BAA487" w:rsidRPr="3809F42B">
        <w:rPr>
          <w:rFonts w:eastAsiaTheme="minorEastAsia"/>
          <w:lang w:val="es-MX"/>
        </w:rPr>
        <w:t xml:space="preserve"> y la </w:t>
      </w:r>
      <w:r w:rsidR="68BAA487" w:rsidRPr="3809F42B">
        <w:rPr>
          <w:rFonts w:eastAsiaTheme="minorEastAsia"/>
          <w:b/>
          <w:bCs/>
          <w:lang w:val="es-MX"/>
        </w:rPr>
        <w:t>Oficina de Transición Socioecológica Justa</w:t>
      </w:r>
      <w:r w:rsidR="68BAA487" w:rsidRPr="3809F42B">
        <w:rPr>
          <w:rFonts w:eastAsiaTheme="minorEastAsia"/>
          <w:lang w:val="es-MX"/>
        </w:rPr>
        <w:t xml:space="preserve"> del Ministerio del Medioambiente</w:t>
      </w:r>
      <w:r w:rsidR="4D29A7A3" w:rsidRPr="3809F42B">
        <w:rPr>
          <w:rFonts w:eastAsiaTheme="minorEastAsia"/>
          <w:lang w:val="es-MX"/>
        </w:rPr>
        <w:t xml:space="preserve">, para </w:t>
      </w:r>
      <w:r w:rsidR="4D29A7A3" w:rsidRPr="3809F42B">
        <w:rPr>
          <w:rFonts w:eastAsiaTheme="minorEastAsia"/>
          <w:i/>
          <w:iCs/>
          <w:lang w:val="es-MX"/>
        </w:rPr>
        <w:t>asegurar el derecho humano al agua y el saneamiento en zonas rurales, e incorporar soluciones basadas en la naturaleza en la infraestructura hidráulica</w:t>
      </w:r>
      <w:r w:rsidR="2768DD1F" w:rsidRPr="3809F42B">
        <w:rPr>
          <w:rFonts w:eastAsiaTheme="minorEastAsia"/>
          <w:lang w:val="es-MX"/>
        </w:rPr>
        <w:t>:</w:t>
      </w:r>
    </w:p>
    <w:p w14:paraId="53894CBC" w14:textId="4CCE5150" w:rsidR="2029CCAC" w:rsidRDefault="2029CCAC" w:rsidP="3809F42B">
      <w:pPr>
        <w:pStyle w:val="Prrafodelista"/>
        <w:numPr>
          <w:ilvl w:val="0"/>
          <w:numId w:val="2"/>
        </w:numPr>
        <w:spacing w:after="0" w:line="240" w:lineRule="auto"/>
        <w:jc w:val="both"/>
      </w:pPr>
      <w:r w:rsidRPr="3809F42B">
        <w:rPr>
          <w:rFonts w:eastAsiaTheme="minorEastAsia"/>
          <w:b/>
          <w:bCs/>
        </w:rPr>
        <w:t>Mesa interministerial para Solucio</w:t>
      </w:r>
      <w:r w:rsidR="576C7BBF" w:rsidRPr="3809F42B">
        <w:rPr>
          <w:rFonts w:eastAsiaTheme="minorEastAsia"/>
          <w:b/>
          <w:bCs/>
        </w:rPr>
        <w:t>nes Basadas en la Naturaleza (Sb</w:t>
      </w:r>
      <w:r w:rsidRPr="3809F42B">
        <w:rPr>
          <w:rFonts w:eastAsiaTheme="minorEastAsia"/>
          <w:b/>
          <w:bCs/>
        </w:rPr>
        <w:t xml:space="preserve">N): </w:t>
      </w:r>
      <w:r w:rsidR="672D4921" w:rsidRPr="3809F42B">
        <w:rPr>
          <w:rFonts w:eastAsiaTheme="minorEastAsia"/>
          <w:b/>
          <w:bCs/>
        </w:rPr>
        <w:t xml:space="preserve"> </w:t>
      </w:r>
      <w:r w:rsidR="22D13569" w:rsidRPr="3809F42B">
        <w:rPr>
          <w:rFonts w:eastAsiaTheme="minorEastAsia"/>
          <w:b/>
          <w:bCs/>
        </w:rPr>
        <w:t xml:space="preserve">El </w:t>
      </w:r>
      <w:r w:rsidR="22D13569" w:rsidRPr="3809F42B">
        <w:rPr>
          <w:rFonts w:ascii="Calibri" w:eastAsia="Calibri" w:hAnsi="Calibri" w:cs="Calibri"/>
          <w:color w:val="000000" w:themeColor="text1"/>
        </w:rPr>
        <w:t xml:space="preserve">MMA formalizó la creación de la Mesa Técnica Interministerial sobre SbN (OFICIO MMA Nº 243735/2024), la cual se mantendrá operativa de forma permanente. </w:t>
      </w:r>
      <w:r w:rsidR="22D13569" w:rsidRPr="3809F42B">
        <w:t xml:space="preserve"> </w:t>
      </w:r>
    </w:p>
    <w:p w14:paraId="284A2261" w14:textId="695A1091" w:rsidR="672D4921" w:rsidRDefault="31A4BA7A" w:rsidP="5609A047">
      <w:pPr>
        <w:pStyle w:val="Prrafodelista"/>
        <w:spacing w:after="0" w:line="240" w:lineRule="auto"/>
        <w:jc w:val="both"/>
      </w:pPr>
      <w:r w:rsidRPr="5609A047">
        <w:rPr>
          <w:rFonts w:eastAsiaTheme="minorEastAsia"/>
        </w:rPr>
        <w:t>D</w:t>
      </w:r>
      <w:r w:rsidR="0CB316F4" w:rsidRPr="5609A047">
        <w:rPr>
          <w:rFonts w:eastAsiaTheme="minorEastAsia"/>
        </w:rPr>
        <w:t xml:space="preserve">urante el 2025 sesionó en 10 </w:t>
      </w:r>
      <w:r w:rsidR="2AD27673" w:rsidRPr="5609A047">
        <w:rPr>
          <w:rFonts w:eastAsiaTheme="minorEastAsia"/>
        </w:rPr>
        <w:t>oportunidades</w:t>
      </w:r>
      <w:r w:rsidR="3B595123" w:rsidRPr="5609A047">
        <w:rPr>
          <w:rFonts w:eastAsiaTheme="minorEastAsia"/>
        </w:rPr>
        <w:t xml:space="preserve"> y</w:t>
      </w:r>
      <w:r w:rsidR="7FB83368" w:rsidRPr="5609A047">
        <w:rPr>
          <w:rFonts w:eastAsiaTheme="minorEastAsia"/>
        </w:rPr>
        <w:t>,</w:t>
      </w:r>
      <w:r w:rsidR="0CB316F4" w:rsidRPr="5609A047">
        <w:rPr>
          <w:rFonts w:eastAsiaTheme="minorEastAsia"/>
        </w:rPr>
        <w:t xml:space="preserve"> </w:t>
      </w:r>
      <w:r w:rsidR="54E0BC68" w:rsidRPr="5609A047">
        <w:rPr>
          <w:rFonts w:eastAsiaTheme="minorEastAsia"/>
        </w:rPr>
        <w:t>bajo la coordinación</w:t>
      </w:r>
      <w:r w:rsidR="630B04EA" w:rsidRPr="5609A047">
        <w:rPr>
          <w:rFonts w:eastAsiaTheme="minorEastAsia"/>
        </w:rPr>
        <w:t xml:space="preserve"> </w:t>
      </w:r>
      <w:r w:rsidR="0E19DCED" w:rsidRPr="5609A047">
        <w:rPr>
          <w:rFonts w:eastAsiaTheme="minorEastAsia"/>
        </w:rPr>
        <w:t>d</w:t>
      </w:r>
      <w:r w:rsidR="6F3725F4" w:rsidRPr="5609A047">
        <w:rPr>
          <w:rFonts w:eastAsiaTheme="minorEastAsia"/>
        </w:rPr>
        <w:t>el MMA a través de su Secretaría Técnica,</w:t>
      </w:r>
      <w:r w:rsidR="70CAF36E" w:rsidRPr="5609A047">
        <w:rPr>
          <w:rFonts w:eastAsiaTheme="minorEastAsia"/>
        </w:rPr>
        <w:t xml:space="preserve"> y</w:t>
      </w:r>
      <w:r w:rsidR="6F3725F4" w:rsidRPr="5609A047">
        <w:rPr>
          <w:rFonts w:eastAsiaTheme="minorEastAsia"/>
        </w:rPr>
        <w:t xml:space="preserve"> reúne a instituciones clave como la Comisión Nacional de Riego (CNR), la Dirección General de Aguas (DGA), la Dirección de Obras Hidráulicas (DOH), el Ministerio de Desarrollo Social y Familia (MDSF), el Ministerio de Vivienda y Urbanismo (MINVU) y el Ministerio de Ciencia, Tecnología, Conocimiento e Innovación (MinCiencias), entre otros.</w:t>
      </w:r>
      <w:r w:rsidR="2E832DA3" w:rsidRPr="5609A047">
        <w:rPr>
          <w:rFonts w:eastAsiaTheme="minorEastAsia"/>
        </w:rPr>
        <w:t xml:space="preserve"> </w:t>
      </w:r>
    </w:p>
    <w:p w14:paraId="1DD28A5A" w14:textId="40258F33" w:rsidR="3809F42B" w:rsidRDefault="3809F42B" w:rsidP="3809F42B">
      <w:pPr>
        <w:spacing w:after="0" w:line="240" w:lineRule="auto"/>
        <w:jc w:val="both"/>
        <w:rPr>
          <w:rFonts w:eastAsiaTheme="minorEastAsia"/>
        </w:rPr>
      </w:pPr>
    </w:p>
    <w:p w14:paraId="63D20A2F" w14:textId="062E588D" w:rsidR="56726915" w:rsidRDefault="56726915" w:rsidP="5609A047">
      <w:pPr>
        <w:pStyle w:val="Prrafodelista"/>
        <w:numPr>
          <w:ilvl w:val="0"/>
          <w:numId w:val="2"/>
        </w:numPr>
        <w:spacing w:after="0" w:line="240" w:lineRule="auto"/>
        <w:jc w:val="both"/>
        <w:rPr>
          <w:rFonts w:eastAsiaTheme="minorEastAsia"/>
          <w:color w:val="000000" w:themeColor="text1"/>
        </w:rPr>
      </w:pPr>
      <w:r w:rsidRPr="5609A047">
        <w:rPr>
          <w:rFonts w:eastAsiaTheme="minorEastAsia"/>
          <w:b/>
          <w:bCs/>
        </w:rPr>
        <w:lastRenderedPageBreak/>
        <w:t>Análisis de brechas no</w:t>
      </w:r>
      <w:r w:rsidR="11F4FF92" w:rsidRPr="5609A047">
        <w:rPr>
          <w:rFonts w:eastAsiaTheme="minorEastAsia"/>
          <w:b/>
          <w:bCs/>
        </w:rPr>
        <w:t>rmativas para inversiones en SbN</w:t>
      </w:r>
      <w:r w:rsidRPr="5609A047">
        <w:rPr>
          <w:rFonts w:eastAsiaTheme="minorEastAsia"/>
          <w:b/>
          <w:bCs/>
        </w:rPr>
        <w:t xml:space="preserve">: </w:t>
      </w:r>
      <w:r w:rsidR="3F7B5112" w:rsidRPr="5609A047">
        <w:rPr>
          <w:rFonts w:eastAsiaTheme="minorEastAsia"/>
        </w:rPr>
        <w:t>En Sesión Ordinaria</w:t>
      </w:r>
      <w:r w:rsidR="1559A6C7" w:rsidRPr="5609A047">
        <w:rPr>
          <w:rFonts w:eastAsiaTheme="minorEastAsia"/>
        </w:rPr>
        <w:t xml:space="preserve"> N° 3</w:t>
      </w:r>
      <w:r w:rsidR="19CD6A50" w:rsidRPr="5609A047">
        <w:rPr>
          <w:rFonts w:eastAsiaTheme="minorEastAsia"/>
        </w:rPr>
        <w:t xml:space="preserve">, realizada el 15 de diciembre de 2025, </w:t>
      </w:r>
      <w:r w:rsidR="44939598" w:rsidRPr="5609A047">
        <w:rPr>
          <w:rFonts w:eastAsiaTheme="minorEastAsia"/>
        </w:rPr>
        <w:t>es aprobado el informe “Brechas para el Desarrollo de Soluciones basadas en la Naturaleza para Seguridad Híd</w:t>
      </w:r>
      <w:r w:rsidR="199CCF82" w:rsidRPr="5609A047">
        <w:rPr>
          <w:rFonts w:eastAsiaTheme="minorEastAsia"/>
        </w:rPr>
        <w:t>rica: Oportunidades, barreras y recomendaciones para Chile</w:t>
      </w:r>
      <w:r w:rsidR="347AA334" w:rsidRPr="5609A047">
        <w:rPr>
          <w:rFonts w:eastAsiaTheme="minorEastAsia"/>
        </w:rPr>
        <w:t>”</w:t>
      </w:r>
      <w:r w:rsidR="4BED6E59" w:rsidRPr="5609A047">
        <w:rPr>
          <w:rFonts w:eastAsiaTheme="minorEastAsia"/>
        </w:rPr>
        <w:t>.</w:t>
      </w:r>
      <w:r w:rsidR="3F7B5112" w:rsidRPr="5609A047">
        <w:rPr>
          <w:rFonts w:eastAsiaTheme="minorEastAsia"/>
        </w:rPr>
        <w:t xml:space="preserve"> </w:t>
      </w:r>
      <w:r w:rsidR="1928DF1F" w:rsidRPr="5609A047">
        <w:rPr>
          <w:rFonts w:eastAsiaTheme="minorEastAsia"/>
        </w:rPr>
        <w:t>Esto, l</w:t>
      </w:r>
      <w:r w:rsidR="4516390E" w:rsidRPr="5609A047">
        <w:rPr>
          <w:rFonts w:eastAsiaTheme="minorEastAsia"/>
        </w:rPr>
        <w:t>uego de un proceso de revisión y validac</w:t>
      </w:r>
      <w:bookmarkStart w:id="0" w:name="_Int_MKCYJ2A4"/>
      <w:r w:rsidR="4516390E" w:rsidRPr="5609A047">
        <w:rPr>
          <w:rFonts w:eastAsiaTheme="minorEastAsia"/>
        </w:rPr>
        <w:t>ió</w:t>
      </w:r>
      <w:bookmarkEnd w:id="0"/>
      <w:r w:rsidR="4516390E" w:rsidRPr="5609A047">
        <w:rPr>
          <w:rFonts w:eastAsiaTheme="minorEastAsia"/>
        </w:rPr>
        <w:t>n institucional,</w:t>
      </w:r>
      <w:r w:rsidR="4249F38E" w:rsidRPr="5609A047">
        <w:rPr>
          <w:rFonts w:eastAsiaTheme="minorEastAsia"/>
        </w:rPr>
        <w:t xml:space="preserve"> en que fueron analizados</w:t>
      </w:r>
      <w:r w:rsidR="79226D51" w:rsidRPr="5609A047">
        <w:rPr>
          <w:rFonts w:eastAsiaTheme="minorEastAsia"/>
        </w:rPr>
        <w:t xml:space="preserve"> tanto</w:t>
      </w:r>
      <w:r w:rsidR="4516390E" w:rsidRPr="5609A047">
        <w:rPr>
          <w:rFonts w:eastAsiaTheme="minorEastAsia"/>
        </w:rPr>
        <w:t xml:space="preserve"> </w:t>
      </w:r>
      <w:r w:rsidR="5DCDB89C" w:rsidRPr="5609A047">
        <w:rPr>
          <w:rFonts w:eastAsiaTheme="minorEastAsia"/>
        </w:rPr>
        <w:t>l</w:t>
      </w:r>
      <w:r w:rsidR="4946D639" w:rsidRPr="5609A047">
        <w:rPr>
          <w:rFonts w:eastAsiaTheme="minorEastAsia"/>
          <w:color w:val="000000" w:themeColor="text1"/>
        </w:rPr>
        <w:t xml:space="preserve">os hallazgos de la consultoría </w:t>
      </w:r>
      <w:r w:rsidR="5E39F99D" w:rsidRPr="5609A047">
        <w:rPr>
          <w:rFonts w:eastAsiaTheme="minorEastAsia"/>
          <w:color w:val="000000" w:themeColor="text1"/>
        </w:rPr>
        <w:t xml:space="preserve">como </w:t>
      </w:r>
      <w:r w:rsidR="15FD002C" w:rsidRPr="5609A047">
        <w:rPr>
          <w:rFonts w:eastAsiaTheme="minorEastAsia"/>
          <w:color w:val="000000" w:themeColor="text1"/>
        </w:rPr>
        <w:t>lo</w:t>
      </w:r>
      <w:r w:rsidR="0DC98D31" w:rsidRPr="5609A047">
        <w:rPr>
          <w:rFonts w:eastAsiaTheme="minorEastAsia"/>
          <w:color w:val="000000" w:themeColor="text1"/>
        </w:rPr>
        <w:t>s</w:t>
      </w:r>
      <w:r w:rsidR="15FD002C" w:rsidRPr="5609A047">
        <w:rPr>
          <w:rFonts w:eastAsiaTheme="minorEastAsia"/>
          <w:color w:val="000000" w:themeColor="text1"/>
        </w:rPr>
        <w:t xml:space="preserve"> </w:t>
      </w:r>
      <w:r w:rsidR="4946D639" w:rsidRPr="5609A047">
        <w:rPr>
          <w:rFonts w:eastAsiaTheme="minorEastAsia"/>
          <w:color w:val="000000" w:themeColor="text1"/>
        </w:rPr>
        <w:t>contenidos elaborados a partir de las discusiones sostenidas en las sesiones de la mesa técnic</w:t>
      </w:r>
      <w:r w:rsidR="3B21866B" w:rsidRPr="5609A047">
        <w:rPr>
          <w:rFonts w:eastAsiaTheme="minorEastAsia"/>
          <w:color w:val="000000" w:themeColor="text1"/>
        </w:rPr>
        <w:t xml:space="preserve">a. Esta aprobación da cumplimiento al indicador 8.1 </w:t>
      </w:r>
      <w:r w:rsidR="72A75E5D" w:rsidRPr="5609A047">
        <w:rPr>
          <w:rFonts w:eastAsiaTheme="minorEastAsia"/>
          <w:color w:val="000000" w:themeColor="text1"/>
        </w:rPr>
        <w:t>correspondiente a</w:t>
      </w:r>
      <w:r w:rsidR="55A7AA6E" w:rsidRPr="5609A047">
        <w:rPr>
          <w:rFonts w:eastAsiaTheme="minorEastAsia"/>
          <w:color w:val="000000" w:themeColor="text1"/>
        </w:rPr>
        <w:t xml:space="preserve"> </w:t>
      </w:r>
      <w:r w:rsidR="72A75E5D" w:rsidRPr="5609A047">
        <w:rPr>
          <w:rFonts w:eastAsiaTheme="minorEastAsia"/>
          <w:color w:val="000000" w:themeColor="text1"/>
        </w:rPr>
        <w:t>“</w:t>
      </w:r>
      <w:r w:rsidR="15155A02" w:rsidRPr="5609A047">
        <w:rPr>
          <w:rFonts w:eastAsiaTheme="minorEastAsia"/>
          <w:color w:val="000000" w:themeColor="text1"/>
        </w:rPr>
        <w:t xml:space="preserve">Comité THJ aprueba el </w:t>
      </w:r>
      <w:r w:rsidR="0A6183C2" w:rsidRPr="5609A047">
        <w:rPr>
          <w:rFonts w:eastAsiaTheme="minorEastAsia"/>
          <w:color w:val="000000" w:themeColor="text1"/>
        </w:rPr>
        <w:t>informe del MMA sobre brechas para el desarrollo de SbN.”</w:t>
      </w:r>
      <w:r w:rsidR="60A72153" w:rsidRPr="5609A047">
        <w:rPr>
          <w:rFonts w:eastAsiaTheme="minorEastAsia"/>
          <w:color w:val="000000" w:themeColor="text1"/>
        </w:rPr>
        <w:t xml:space="preserve"> y</w:t>
      </w:r>
      <w:r w:rsidR="3859615E" w:rsidRPr="5609A047">
        <w:rPr>
          <w:rFonts w:eastAsiaTheme="minorEastAsia"/>
          <w:color w:val="000000" w:themeColor="text1"/>
        </w:rPr>
        <w:t>, luego de</w:t>
      </w:r>
      <w:r w:rsidR="5E1CC504" w:rsidRPr="5609A047">
        <w:rPr>
          <w:rFonts w:eastAsiaTheme="minorEastAsia"/>
          <w:color w:val="000000" w:themeColor="text1"/>
        </w:rPr>
        <w:t xml:space="preserve"> su</w:t>
      </w:r>
      <w:r w:rsidR="3859615E" w:rsidRPr="5609A047">
        <w:rPr>
          <w:rFonts w:eastAsiaTheme="minorEastAsia"/>
          <w:color w:val="000000" w:themeColor="text1"/>
        </w:rPr>
        <w:t xml:space="preserve"> verificación,</w:t>
      </w:r>
      <w:r w:rsidR="0A6183C2" w:rsidRPr="5609A047">
        <w:rPr>
          <w:rFonts w:eastAsiaTheme="minorEastAsia"/>
          <w:color w:val="000000" w:themeColor="text1"/>
        </w:rPr>
        <w:t xml:space="preserve"> </w:t>
      </w:r>
      <w:r w:rsidR="7EEE626C" w:rsidRPr="5609A047">
        <w:rPr>
          <w:rFonts w:eastAsiaTheme="minorEastAsia"/>
          <w:color w:val="000000" w:themeColor="text1"/>
        </w:rPr>
        <w:t>equivaldr</w:t>
      </w:r>
      <w:r w:rsidR="535761B5" w:rsidRPr="5609A047">
        <w:rPr>
          <w:rFonts w:eastAsiaTheme="minorEastAsia"/>
          <w:color w:val="000000" w:themeColor="text1"/>
        </w:rPr>
        <w:t>á</w:t>
      </w:r>
      <w:r w:rsidR="7EEE626C" w:rsidRPr="5609A047">
        <w:rPr>
          <w:rFonts w:eastAsiaTheme="minorEastAsia"/>
          <w:color w:val="000000" w:themeColor="text1"/>
        </w:rPr>
        <w:t xml:space="preserve"> a</w:t>
      </w:r>
      <w:r w:rsidR="0A6183C2" w:rsidRPr="5609A047">
        <w:rPr>
          <w:rFonts w:eastAsiaTheme="minorEastAsia"/>
          <w:color w:val="000000" w:themeColor="text1"/>
        </w:rPr>
        <w:t xml:space="preserve"> </w:t>
      </w:r>
      <w:r w:rsidR="7249DBC6" w:rsidRPr="5609A047">
        <w:rPr>
          <w:rFonts w:eastAsiaTheme="minorEastAsia"/>
          <w:color w:val="000000" w:themeColor="text1"/>
        </w:rPr>
        <w:t xml:space="preserve">un desembolso de </w:t>
      </w:r>
      <w:r w:rsidR="0A6183C2" w:rsidRPr="5609A047">
        <w:rPr>
          <w:rFonts w:eastAsiaTheme="minorEastAsia"/>
          <w:color w:val="000000" w:themeColor="text1"/>
        </w:rPr>
        <w:t xml:space="preserve">US$ 5 millones. </w:t>
      </w:r>
    </w:p>
    <w:p w14:paraId="450EA41E" w14:textId="49DA1E22" w:rsidR="5609A047" w:rsidRDefault="5609A047" w:rsidP="5609A047">
      <w:pPr>
        <w:pStyle w:val="Prrafodelista"/>
        <w:spacing w:after="0" w:line="240" w:lineRule="auto"/>
        <w:jc w:val="both"/>
        <w:rPr>
          <w:rFonts w:eastAsiaTheme="minorEastAsia"/>
          <w:color w:val="000000" w:themeColor="text1"/>
        </w:rPr>
      </w:pPr>
    </w:p>
    <w:p w14:paraId="64FA5241" w14:textId="3032E758" w:rsidR="5609A047" w:rsidRDefault="5609A047" w:rsidP="5609A047">
      <w:pPr>
        <w:spacing w:after="0" w:line="240" w:lineRule="auto"/>
        <w:jc w:val="both"/>
        <w:rPr>
          <w:rFonts w:eastAsiaTheme="minorEastAsia"/>
          <w:color w:val="000000" w:themeColor="text1"/>
        </w:rPr>
      </w:pPr>
    </w:p>
    <w:p w14:paraId="738E3F33" w14:textId="4EF1B3AA" w:rsidR="659B30A3" w:rsidRDefault="542EDC35" w:rsidP="3809F42B">
      <w:pPr>
        <w:shd w:val="clear" w:color="auto" w:fill="FFFFFF" w:themeFill="background1"/>
        <w:spacing w:after="0" w:line="240" w:lineRule="auto"/>
        <w:ind w:left="708"/>
        <w:jc w:val="both"/>
      </w:pPr>
      <w:r w:rsidRPr="5609A047">
        <w:rPr>
          <w:rFonts w:eastAsiaTheme="minorEastAsia"/>
          <w:color w:val="000000" w:themeColor="text1"/>
        </w:rPr>
        <w:t>En paralelo</w:t>
      </w:r>
      <w:r w:rsidR="4946D639" w:rsidRPr="5609A047">
        <w:rPr>
          <w:rFonts w:eastAsiaTheme="minorEastAsia"/>
          <w:color w:val="000000" w:themeColor="text1"/>
        </w:rPr>
        <w:t>, se continúa avanzando en la elaboración de directrices para la incorporación de SbN en el portafolio de infraestructura hidráulica del país. En esta línea, se ha iniciado el levantamiento de antecedentes técnicos y se encuentra en curso la búsqueda de un consultor especializado que pueda apoyar en el desarrollo de estos lineamientos.</w:t>
      </w:r>
      <w:r w:rsidR="4946D639" w:rsidRPr="5609A047">
        <w:rPr>
          <w:rFonts w:eastAsiaTheme="minorEastAsia"/>
        </w:rPr>
        <w:t xml:space="preserve"> </w:t>
      </w:r>
      <w:r w:rsidR="4870FF84" w:rsidRPr="5609A047">
        <w:rPr>
          <w:rFonts w:eastAsiaTheme="minorEastAsia"/>
        </w:rPr>
        <w:t>Su verificación, equivaldría a un desembolso de aproximadamente USD 5 millones.</w:t>
      </w:r>
    </w:p>
    <w:p w14:paraId="75423CBC" w14:textId="74483A92" w:rsidR="3809F42B" w:rsidRDefault="3809F42B" w:rsidP="5609A047">
      <w:pPr>
        <w:shd w:val="clear" w:color="auto" w:fill="FFFFFF" w:themeFill="background1"/>
        <w:spacing w:after="0" w:line="240" w:lineRule="auto"/>
        <w:ind w:left="708"/>
        <w:jc w:val="both"/>
        <w:rPr>
          <w:rFonts w:eastAsiaTheme="minorEastAsia"/>
        </w:rPr>
      </w:pPr>
    </w:p>
    <w:p w14:paraId="624C02BF" w14:textId="32356719" w:rsidR="78C5771E" w:rsidRDefault="78C5771E" w:rsidP="3809F42B">
      <w:pPr>
        <w:pStyle w:val="Ttulo1"/>
        <w:spacing w:line="240" w:lineRule="auto"/>
        <w:jc w:val="both"/>
        <w:rPr>
          <w:rFonts w:asciiTheme="minorHAnsi" w:eastAsiaTheme="minorEastAsia" w:hAnsiTheme="minorHAnsi" w:cstheme="minorBidi"/>
          <w:b/>
          <w:bCs/>
          <w:color w:val="1F4E79" w:themeColor="accent1" w:themeShade="80"/>
          <w:sz w:val="24"/>
          <w:szCs w:val="24"/>
          <w:lang w:val="es-MX"/>
        </w:rPr>
      </w:pPr>
      <w:r w:rsidRPr="3809F42B">
        <w:rPr>
          <w:rFonts w:asciiTheme="minorHAnsi" w:eastAsiaTheme="minorEastAsia" w:hAnsiTheme="minorHAnsi" w:cstheme="minorBidi"/>
          <w:b/>
          <w:bCs/>
          <w:color w:val="1F4E79" w:themeColor="accent1" w:themeShade="80"/>
          <w:sz w:val="24"/>
          <w:szCs w:val="24"/>
          <w:lang w:val="es-MX"/>
        </w:rPr>
        <w:t>Otras acciones y medidas implementadas por el MOP.</w:t>
      </w:r>
    </w:p>
    <w:p w14:paraId="56588C3C" w14:textId="35D21CFF" w:rsidR="3809F42B" w:rsidRDefault="3809F42B" w:rsidP="3809F42B">
      <w:pPr>
        <w:spacing w:after="0" w:line="240" w:lineRule="auto"/>
        <w:jc w:val="both"/>
        <w:rPr>
          <w:rFonts w:eastAsiaTheme="minorEastAsia"/>
        </w:rPr>
      </w:pPr>
    </w:p>
    <w:p w14:paraId="68632FE2" w14:textId="6CC9C7DF" w:rsidR="7A75E621" w:rsidRDefault="7A75E621" w:rsidP="5609A047">
      <w:pPr>
        <w:spacing w:after="0" w:line="240" w:lineRule="auto"/>
        <w:jc w:val="both"/>
        <w:rPr>
          <w:rFonts w:eastAsiaTheme="minorEastAsia"/>
          <w:color w:val="000000" w:themeColor="text1"/>
        </w:rPr>
      </w:pPr>
      <w:bookmarkStart w:id="1" w:name="_GoBack"/>
      <w:r w:rsidRPr="5609A047">
        <w:rPr>
          <w:rFonts w:eastAsiaTheme="minorEastAsia"/>
          <w:color w:val="000000" w:themeColor="text1"/>
        </w:rPr>
        <w:t xml:space="preserve">El Agente Verificador Independiente, se encuentra ejecutando el segundo proceso de verificación, </w:t>
      </w:r>
      <w:bookmarkEnd w:id="1"/>
      <w:r w:rsidRPr="5609A047">
        <w:rPr>
          <w:rFonts w:eastAsiaTheme="minorEastAsia"/>
          <w:color w:val="000000" w:themeColor="text1"/>
        </w:rPr>
        <w:t xml:space="preserve">el cual incorpora una ampliación en el alcance de los indicadores </w:t>
      </w:r>
      <w:r w:rsidR="70395354" w:rsidRPr="5609A047">
        <w:rPr>
          <w:rFonts w:eastAsiaTheme="minorEastAsia"/>
          <w:color w:val="000000" w:themeColor="text1"/>
        </w:rPr>
        <w:t xml:space="preserve">ya </w:t>
      </w:r>
      <w:r w:rsidRPr="5609A047">
        <w:rPr>
          <w:rFonts w:eastAsiaTheme="minorEastAsia"/>
          <w:color w:val="000000" w:themeColor="text1"/>
        </w:rPr>
        <w:t>evaluados, contribuyendo a la habilitación de</w:t>
      </w:r>
      <w:r w:rsidR="003BBF29" w:rsidRPr="5609A047">
        <w:rPr>
          <w:rFonts w:eastAsiaTheme="minorEastAsia"/>
          <w:color w:val="000000" w:themeColor="text1"/>
        </w:rPr>
        <w:t xml:space="preserve">l desembolso de más de US$ 8 millones, </w:t>
      </w:r>
      <w:r w:rsidR="6B6A200D" w:rsidRPr="5609A047">
        <w:rPr>
          <w:rFonts w:eastAsiaTheme="minorEastAsia"/>
          <w:color w:val="000000" w:themeColor="text1"/>
        </w:rPr>
        <w:t xml:space="preserve">proyectada para el primer trimestre 2026 </w:t>
      </w:r>
      <w:r w:rsidR="003BBF29" w:rsidRPr="5609A047">
        <w:rPr>
          <w:rFonts w:eastAsiaTheme="minorEastAsia"/>
          <w:color w:val="000000" w:themeColor="text1"/>
        </w:rPr>
        <w:t>alcanzando los US$ 25 millones</w:t>
      </w:r>
      <w:r w:rsidRPr="5609A047">
        <w:rPr>
          <w:rFonts w:eastAsiaTheme="minorEastAsia"/>
          <w:color w:val="000000" w:themeColor="text1"/>
        </w:rPr>
        <w:t>.</w:t>
      </w:r>
    </w:p>
    <w:p w14:paraId="7083E646" w14:textId="4633D754" w:rsidR="5609A047" w:rsidRDefault="5609A047" w:rsidP="5609A047">
      <w:pPr>
        <w:spacing w:after="0" w:line="240" w:lineRule="auto"/>
        <w:jc w:val="both"/>
        <w:rPr>
          <w:rFonts w:eastAsiaTheme="minorEastAsia"/>
          <w:color w:val="000000" w:themeColor="text1"/>
        </w:rPr>
      </w:pPr>
    </w:p>
    <w:p w14:paraId="3A8D158A" w14:textId="4583A021" w:rsidR="7A75E621" w:rsidRDefault="7A75E621" w:rsidP="5609A047">
      <w:pPr>
        <w:spacing w:after="0" w:line="240" w:lineRule="auto"/>
        <w:jc w:val="both"/>
      </w:pPr>
      <w:r w:rsidRPr="5609A047">
        <w:rPr>
          <w:rFonts w:eastAsiaTheme="minorEastAsia"/>
          <w:color w:val="000000" w:themeColor="text1"/>
        </w:rPr>
        <w:t>Paralelamente, se avanza en la fase preparatoria de la auditoría</w:t>
      </w:r>
      <w:r w:rsidR="162B5F4D" w:rsidRPr="5609A047">
        <w:rPr>
          <w:rFonts w:eastAsiaTheme="minorEastAsia"/>
          <w:color w:val="000000" w:themeColor="text1"/>
        </w:rPr>
        <w:t xml:space="preserve"> que realizará la Contraloría General de la República</w:t>
      </w:r>
      <w:r w:rsidRPr="5609A047">
        <w:rPr>
          <w:rFonts w:eastAsiaTheme="minorEastAsia"/>
          <w:color w:val="000000" w:themeColor="text1"/>
        </w:rPr>
        <w:t>, mediante la realización de reuniones de coordinación</w:t>
      </w:r>
      <w:r w:rsidR="177E41E0" w:rsidRPr="5609A047">
        <w:rPr>
          <w:rFonts w:eastAsiaTheme="minorEastAsia"/>
          <w:color w:val="000000" w:themeColor="text1"/>
        </w:rPr>
        <w:t xml:space="preserve"> con</w:t>
      </w:r>
      <w:r w:rsidRPr="5609A047">
        <w:rPr>
          <w:rFonts w:eastAsiaTheme="minorEastAsia"/>
          <w:color w:val="000000" w:themeColor="text1"/>
        </w:rPr>
        <w:t xml:space="preserve"> </w:t>
      </w:r>
      <w:r w:rsidR="7954BB53" w:rsidRPr="5609A047">
        <w:rPr>
          <w:rFonts w:eastAsiaTheme="minorEastAsia"/>
          <w:color w:val="000000" w:themeColor="text1"/>
        </w:rPr>
        <w:t>l</w:t>
      </w:r>
      <w:r w:rsidRPr="5609A047">
        <w:rPr>
          <w:rFonts w:eastAsiaTheme="minorEastAsia"/>
          <w:color w:val="000000" w:themeColor="text1"/>
        </w:rPr>
        <w:t>os servicios implementadores</w:t>
      </w:r>
      <w:r w:rsidR="7E0E5138" w:rsidRPr="5609A047">
        <w:rPr>
          <w:rFonts w:eastAsiaTheme="minorEastAsia"/>
          <w:color w:val="000000" w:themeColor="text1"/>
        </w:rPr>
        <w:t xml:space="preserve"> y con el ente fiscalizador</w:t>
      </w:r>
      <w:r w:rsidRPr="5609A047">
        <w:rPr>
          <w:rFonts w:eastAsiaTheme="minorEastAsia"/>
          <w:color w:val="000000" w:themeColor="text1"/>
        </w:rPr>
        <w:t>, con el objetivo de asegurar su ejecución conforme a lo programado para el primer semestre de 202</w:t>
      </w:r>
      <w:r w:rsidR="1612A570" w:rsidRPr="5609A047">
        <w:rPr>
          <w:rFonts w:eastAsiaTheme="minorEastAsia"/>
          <w:color w:val="000000" w:themeColor="text1"/>
        </w:rPr>
        <w:t>6</w:t>
      </w:r>
      <w:r w:rsidR="212A6CFC" w:rsidRPr="5609A047">
        <w:rPr>
          <w:rFonts w:eastAsiaTheme="minorEastAsia"/>
          <w:color w:val="000000" w:themeColor="text1"/>
        </w:rPr>
        <w:t>.</w:t>
      </w:r>
    </w:p>
    <w:sectPr w:rsidR="7A75E621" w:rsidSect="003F026A">
      <w:headerReference w:type="default" r:id="rId11"/>
      <w:footerReference w:type="default" r:id="rId12"/>
      <w:headerReference w:type="first" r:id="rId13"/>
      <w:footerReference w:type="first" r:id="rId14"/>
      <w:pgSz w:w="12240" w:h="15840"/>
      <w:pgMar w:top="1417" w:right="1701" w:bottom="1417" w:left="1701"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D1EDE" w14:textId="77777777" w:rsidR="00A04A1C" w:rsidRDefault="00A04A1C" w:rsidP="009C3A43">
      <w:pPr>
        <w:spacing w:after="0" w:line="240" w:lineRule="auto"/>
      </w:pPr>
      <w:r>
        <w:separator/>
      </w:r>
    </w:p>
  </w:endnote>
  <w:endnote w:type="continuationSeparator" w:id="0">
    <w:p w14:paraId="3C98404E" w14:textId="77777777" w:rsidR="00A04A1C" w:rsidRDefault="00A04A1C" w:rsidP="009C3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obCL">
    <w:panose1 w:val="00000000000000000000"/>
    <w:charset w:val="00"/>
    <w:family w:val="modern"/>
    <w:notTrueType/>
    <w:pitch w:val="variable"/>
    <w:sig w:usb0="20000007" w:usb1="00000000"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66E45" w14:textId="77777777" w:rsidR="003F026A" w:rsidRPr="004D208A" w:rsidRDefault="129C33C4" w:rsidP="129C33C4">
    <w:pPr>
      <w:pStyle w:val="Piedepgina"/>
      <w:jc w:val="center"/>
      <w:rPr>
        <w:color w:val="0070C0"/>
        <w:sz w:val="20"/>
        <w:szCs w:val="20"/>
        <w:lang w:val="es-MX"/>
      </w:rPr>
    </w:pPr>
    <w:r w:rsidRPr="129C33C4">
      <w:rPr>
        <w:color w:val="0070C0"/>
        <w:sz w:val="20"/>
        <w:szCs w:val="20"/>
        <w:lang w:val="es-MX"/>
      </w:rPr>
      <w:t>Unidad de Coordinación y Reporte – Dirección General de Obras Públicas</w:t>
    </w:r>
  </w:p>
  <w:p w14:paraId="72634D09" w14:textId="77777777" w:rsidR="003F026A" w:rsidRPr="004D208A" w:rsidRDefault="129C33C4" w:rsidP="129C33C4">
    <w:pPr>
      <w:pStyle w:val="Piedepgina"/>
      <w:jc w:val="center"/>
      <w:rPr>
        <w:color w:val="0070C0"/>
        <w:sz w:val="20"/>
        <w:szCs w:val="20"/>
        <w:lang w:val="es-MX"/>
      </w:rPr>
    </w:pPr>
    <w:r w:rsidRPr="129C33C4">
      <w:rPr>
        <w:color w:val="0070C0"/>
        <w:sz w:val="20"/>
        <w:szCs w:val="20"/>
        <w:lang w:val="es-MX"/>
      </w:rPr>
      <w:t>Ministerio de Obras Públicas</w:t>
    </w:r>
  </w:p>
  <w:p w14:paraId="075C4ADA" w14:textId="77777777" w:rsidR="003F026A" w:rsidRDefault="00A04A1C">
    <w:pPr>
      <w:pStyle w:val="Piedepgina"/>
      <w:jc w:val="right"/>
    </w:pPr>
    <w:sdt>
      <w:sdtPr>
        <w:id w:val="2032908366"/>
        <w:docPartObj>
          <w:docPartGallery w:val="Page Numbers (Bottom of Page)"/>
          <w:docPartUnique/>
        </w:docPartObj>
      </w:sdtPr>
      <w:sdtEndPr/>
      <w:sdtContent>
        <w:r w:rsidR="003F026A">
          <w:fldChar w:fldCharType="begin"/>
        </w:r>
        <w:r w:rsidR="003F026A">
          <w:instrText>PAGE   \* MERGEFORMAT</w:instrText>
        </w:r>
        <w:r w:rsidR="003F026A">
          <w:fldChar w:fldCharType="separate"/>
        </w:r>
        <w:r w:rsidR="00606634" w:rsidRPr="00606634">
          <w:rPr>
            <w:noProof/>
            <w:lang w:val="es-ES"/>
          </w:rPr>
          <w:t>4</w:t>
        </w:r>
        <w:r w:rsidR="003F026A">
          <w:fldChar w:fldCharType="end"/>
        </w:r>
      </w:sdtContent>
    </w:sdt>
  </w:p>
  <w:p w14:paraId="1FC39945" w14:textId="77777777" w:rsidR="003F026A" w:rsidRDefault="003F026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D9B01" w14:textId="77777777" w:rsidR="004D208A" w:rsidRPr="004D208A" w:rsidRDefault="004D208A" w:rsidP="004D208A">
    <w:pPr>
      <w:pStyle w:val="Piedepgina"/>
      <w:jc w:val="center"/>
      <w:rPr>
        <w:color w:val="0070C0"/>
        <w:sz w:val="20"/>
        <w:lang w:val="es-MX"/>
      </w:rPr>
    </w:pPr>
    <w:r w:rsidRPr="004D208A">
      <w:rPr>
        <w:color w:val="0070C0"/>
        <w:sz w:val="20"/>
        <w:lang w:val="es-MX"/>
      </w:rPr>
      <w:t>Unidad de Coordinación y Reporte – Dirección General de Obras Públicas</w:t>
    </w:r>
  </w:p>
  <w:p w14:paraId="510A7D4B" w14:textId="77777777" w:rsidR="004D208A" w:rsidRPr="004D208A" w:rsidRDefault="004D208A" w:rsidP="004D208A">
    <w:pPr>
      <w:pStyle w:val="Piedepgina"/>
      <w:jc w:val="center"/>
      <w:rPr>
        <w:color w:val="0070C0"/>
        <w:sz w:val="20"/>
        <w:lang w:val="es-MX"/>
      </w:rPr>
    </w:pPr>
    <w:r w:rsidRPr="004D208A">
      <w:rPr>
        <w:color w:val="0070C0"/>
        <w:sz w:val="20"/>
        <w:lang w:val="es-MX"/>
      </w:rPr>
      <w:t>Ministerio de Obras Públicas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5F3004" w14:textId="77777777" w:rsidR="00A04A1C" w:rsidRDefault="00A04A1C" w:rsidP="009C3A43">
      <w:pPr>
        <w:spacing w:after="0" w:line="240" w:lineRule="auto"/>
      </w:pPr>
      <w:r>
        <w:separator/>
      </w:r>
    </w:p>
  </w:footnote>
  <w:footnote w:type="continuationSeparator" w:id="0">
    <w:p w14:paraId="597B206A" w14:textId="77777777" w:rsidR="00A04A1C" w:rsidRDefault="00A04A1C" w:rsidP="009C3A43">
      <w:pPr>
        <w:spacing w:after="0" w:line="240" w:lineRule="auto"/>
      </w:pPr>
      <w:r>
        <w:continuationSeparator/>
      </w:r>
    </w:p>
  </w:footnote>
  <w:footnote w:id="1">
    <w:p w14:paraId="382A63DD" w14:textId="2A997A3E" w:rsidR="000257F8" w:rsidRPr="000257F8" w:rsidRDefault="000257F8" w:rsidP="129C33C4">
      <w:pPr>
        <w:pStyle w:val="Textonotapie"/>
        <w:ind w:firstLine="708"/>
        <w:jc w:val="both"/>
        <w:rPr>
          <w:lang w:val="es-MX"/>
        </w:rPr>
      </w:pPr>
      <w:r w:rsidRPr="129C33C4">
        <w:rPr>
          <w:rStyle w:val="Refdenotaalpie"/>
          <w:rFonts w:ascii="Calibri" w:eastAsia="Calibri" w:hAnsi="Calibri" w:cs="Calibri"/>
          <w:sz w:val="18"/>
          <w:szCs w:val="18"/>
        </w:rPr>
        <w:footnoteRef/>
      </w:r>
      <w:r w:rsidR="129C33C4" w:rsidRPr="129C33C4">
        <w:rPr>
          <w:rFonts w:ascii="Calibri" w:eastAsia="Calibri" w:hAnsi="Calibri" w:cs="Calibri"/>
          <w:sz w:val="18"/>
          <w:szCs w:val="18"/>
        </w:rPr>
        <w:t xml:space="preserve"> En este tipo de Programas, las transferencias o financiamiento, se realizan contra la consecución de resultados específicos del Programa, en función de indicadores asociados a desembolsos (DLI’s). </w:t>
      </w:r>
    </w:p>
  </w:footnote>
  <w:footnote w:id="2">
    <w:p w14:paraId="3C9AFCE4" w14:textId="60210AB8" w:rsidR="129C33C4" w:rsidRDefault="129C33C4" w:rsidP="129C33C4">
      <w:pPr>
        <w:pStyle w:val="Textonotapie"/>
        <w:ind w:firstLine="708"/>
        <w:jc w:val="both"/>
        <w:rPr>
          <w:sz w:val="18"/>
          <w:szCs w:val="18"/>
        </w:rPr>
      </w:pPr>
      <w:r w:rsidRPr="129C33C4">
        <w:rPr>
          <w:rStyle w:val="Refdenotaalpie"/>
          <w:rFonts w:ascii="Calibri" w:eastAsia="Calibri" w:hAnsi="Calibri" w:cs="Calibri"/>
          <w:sz w:val="18"/>
          <w:szCs w:val="18"/>
        </w:rPr>
        <w:footnoteRef/>
      </w:r>
      <w:r w:rsidRPr="129C33C4">
        <w:rPr>
          <w:rFonts w:ascii="Calibri" w:eastAsia="Calibri" w:hAnsi="Calibri" w:cs="Calibri"/>
          <w:sz w:val="18"/>
          <w:szCs w:val="18"/>
        </w:rPr>
        <w:t xml:space="preserve"> Al cierre del primer trimestre los avances para el AR1 daban por cumplida las metas establecidas para los SUB DLI 1.1 y 1.2, relativos a la creación de grupos de trabajo de cuencas y la publicación del DS N°58 que aprueba el Reglamento que establece el procedimiento para la elaboración, revisión y actualización, así como el monitoreo y reporte de los Planes Estratégicos de Recursos Hídricos en Cuencas (PERHC), equivalente a un desembolso de USD 13.787.500 millones. </w:t>
      </w:r>
    </w:p>
  </w:footnote>
  <w:footnote w:id="3">
    <w:p w14:paraId="711525EE" w14:textId="1C48EA44" w:rsidR="129C33C4" w:rsidRDefault="129C33C4" w:rsidP="129C33C4">
      <w:pPr>
        <w:pStyle w:val="Textonotapie"/>
      </w:pPr>
      <w:r w:rsidRPr="129C33C4">
        <w:rPr>
          <w:rStyle w:val="Refdenotaalpie"/>
        </w:rPr>
        <w:footnoteRef/>
      </w:r>
      <w:r>
        <w:t xml:space="preserve"> Presentando un avance aproximado de 9.000 beneficiarios en base al trimestre anterior. Aumentando en USD $ 4 millones en desembolsos una vez se complete la verificación.</w:t>
      </w:r>
    </w:p>
  </w:footnote>
  <w:footnote w:id="4">
    <w:p w14:paraId="2062D9F3" w14:textId="1524545B" w:rsidR="5609A047" w:rsidRPr="00606634" w:rsidRDefault="5609A047" w:rsidP="00606634">
      <w:pPr>
        <w:pStyle w:val="Textonotapie"/>
        <w:ind w:left="720"/>
      </w:pPr>
      <w:r w:rsidRPr="5609A047">
        <w:rPr>
          <w:rStyle w:val="Refdenotaalpie"/>
        </w:rPr>
        <w:footnoteRef/>
      </w:r>
      <w:r>
        <w:t xml:space="preserve"> Se corrige el dato informado en la minuta del tercer trimestre, donde por error se indicó el indicador N° 6.2 “Aprobación del diseño de tres (3) Tecnologías Piloto Alternativas de Tratamiento de Aguas Residuales Rurales”. El indicador correcto corresponde al N° 6.1: “La SSR identificó lugares para tres (3) obras piloto de tecnologías alternativas de tratamiento de aguas servidas.</w:t>
      </w:r>
    </w:p>
    <w:p w14:paraId="22667707" w14:textId="55FA8031" w:rsidR="5609A047" w:rsidRDefault="5609A047" w:rsidP="5609A047">
      <w:pPr>
        <w:pStyle w:val="Textonotapie"/>
      </w:pPr>
    </w:p>
  </w:footnote>
  <w:footnote w:id="5">
    <w:p w14:paraId="2A29D70A" w14:textId="477F5BCA" w:rsidR="129C33C4" w:rsidRDefault="129C33C4" w:rsidP="129C33C4">
      <w:pPr>
        <w:pStyle w:val="Textonotapie"/>
        <w:ind w:firstLine="708"/>
        <w:rPr>
          <w:sz w:val="18"/>
          <w:szCs w:val="18"/>
        </w:rPr>
      </w:pPr>
      <w:r w:rsidRPr="129C33C4">
        <w:rPr>
          <w:rStyle w:val="Refdenotaalpie"/>
          <w:rFonts w:ascii="Calibri" w:eastAsia="Calibri" w:hAnsi="Calibri" w:cs="Calibri"/>
          <w:sz w:val="18"/>
          <w:szCs w:val="18"/>
        </w:rPr>
        <w:footnoteRef/>
      </w:r>
      <w:r w:rsidRPr="129C33C4">
        <w:rPr>
          <w:rFonts w:ascii="Calibri" w:eastAsia="Calibri" w:hAnsi="Calibri" w:cs="Calibri"/>
          <w:sz w:val="18"/>
          <w:szCs w:val="18"/>
        </w:rPr>
        <w:t xml:space="preserve"> Al cierre del primer trimestre los avances para el AR3 incorporaron como antecedente la presentación de los proyectos en cartera de la Dirección de Obras Hidráulicas.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2CB0E" w14:textId="77777777" w:rsidR="00B231C1" w:rsidRDefault="00B231C1">
    <w:pPr>
      <w:pStyle w:val="Encabezado"/>
    </w:pPr>
    <w:r w:rsidRPr="00074EEC">
      <w:rPr>
        <w:rFonts w:ascii="Arial Narrow" w:hAnsi="Arial Narrow" w:cs="gobCL"/>
        <w:noProof/>
        <w:lang w:eastAsia="es-CL"/>
      </w:rPr>
      <w:drawing>
        <wp:inline distT="0" distB="0" distL="0" distR="0" wp14:anchorId="7C5BADCF" wp14:editId="6427E0DF">
          <wp:extent cx="876300" cy="790575"/>
          <wp:effectExtent l="0" t="0" r="0" b="952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6300" cy="790575"/>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1D779" w14:textId="77777777" w:rsidR="004D208A" w:rsidRDefault="004D208A">
    <w:pPr>
      <w:pStyle w:val="Encabezado"/>
    </w:pPr>
    <w:r w:rsidRPr="0064755A">
      <w:rPr>
        <w:noProof/>
        <w:sz w:val="24"/>
        <w:szCs w:val="24"/>
        <w:lang w:eastAsia="es-CL"/>
      </w:rPr>
      <w:drawing>
        <wp:inline distT="0" distB="0" distL="0" distR="0" wp14:anchorId="7E569398" wp14:editId="5A691C4A">
          <wp:extent cx="1097280" cy="1043600"/>
          <wp:effectExtent l="0" t="0" r="7620" b="4445"/>
          <wp:docPr id="1" name="Imagen 1" descr="C:\Users\francisco.reinoso\Desktop\LOGOS MOP\LOGO M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cisco.reinoso\Desktop\LOGOS MOP\LOGO M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7840" cy="1063155"/>
                  </a:xfrm>
                  <a:prstGeom prst="rect">
                    <a:avLst/>
                  </a:prstGeom>
                  <a:noFill/>
                  <a:ln>
                    <a:noFill/>
                  </a:ln>
                </pic:spPr>
              </pic:pic>
            </a:graphicData>
          </a:graphic>
        </wp:inline>
      </w:drawing>
    </w:r>
  </w:p>
</w:hdr>
</file>

<file path=word/intelligence2.xml><?xml version="1.0" encoding="utf-8"?>
<int2:intelligence xmlns:int2="http://schemas.microsoft.com/office/intelligence/2020/intelligence">
  <int2:observations>
    <int2:textHash int2:hashCode="5+9/plmhz2YwMM" int2:id="2zmvEJ3j">
      <int2:state int2:type="spell" int2:value="Rejected"/>
    </int2:textHash>
    <int2:textHash int2:hashCode="dm+leMrygztPmN" int2:id="YLUH62aR">
      <int2:state int2:type="spell" int2:value="Rejected"/>
    </int2:textHash>
    <int2:bookmark int2:bookmarkName="_Int_MKCYJ2A4" int2:invalidationBookmarkName="" int2:hashCode="sDrBTayllYPub5" int2:id="QULckGIZ">
      <int2:state int2:type="gram"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355DC"/>
    <w:multiLevelType w:val="multilevel"/>
    <w:tmpl w:val="6548D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C266D3"/>
    <w:multiLevelType w:val="multilevel"/>
    <w:tmpl w:val="F8CAE280"/>
    <w:lvl w:ilvl="0">
      <w:start w:val="1"/>
      <w:numFmt w:val="decimal"/>
      <w:pStyle w:val="Ttulo1"/>
      <w:lvlText w:val="%1"/>
      <w:lvlJc w:val="left"/>
      <w:pPr>
        <w:ind w:left="432" w:hanging="432"/>
      </w:pPr>
    </w:lvl>
    <w:lvl w:ilvl="1">
      <w:start w:val="1"/>
      <w:numFmt w:val="decimal"/>
      <w:pStyle w:val="Ttulo2"/>
      <w:lvlText w:val="%1.%2"/>
      <w:lvlJc w:val="left"/>
      <w:pPr>
        <w:ind w:left="576" w:hanging="576"/>
      </w:pPr>
      <w:rPr>
        <w:b/>
        <w:sz w:val="24"/>
        <w:szCs w:val="24"/>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0650624E"/>
    <w:multiLevelType w:val="hybridMultilevel"/>
    <w:tmpl w:val="49D4B96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719768F"/>
    <w:multiLevelType w:val="multilevel"/>
    <w:tmpl w:val="4912A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283FD2"/>
    <w:multiLevelType w:val="multilevel"/>
    <w:tmpl w:val="480A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595983"/>
    <w:multiLevelType w:val="hybridMultilevel"/>
    <w:tmpl w:val="F760A56A"/>
    <w:lvl w:ilvl="0" w:tplc="81B2FA34">
      <w:start w:val="1"/>
      <w:numFmt w:val="decimal"/>
      <w:lvlText w:val="%1."/>
      <w:lvlJc w:val="left"/>
      <w:pPr>
        <w:ind w:left="360" w:hanging="360"/>
      </w:pPr>
      <w:rPr>
        <w:rFonts w:asciiTheme="majorHAnsi" w:eastAsiaTheme="minorHAnsi" w:hAnsiTheme="majorHAnsi" w:cstheme="majorHAnsi" w:hint="default"/>
        <w:b/>
        <w:bCs w:val="0"/>
        <w:color w:val="auto"/>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B74FAB"/>
    <w:multiLevelType w:val="hybridMultilevel"/>
    <w:tmpl w:val="F760A56A"/>
    <w:lvl w:ilvl="0" w:tplc="FFFFFFFF">
      <w:start w:val="1"/>
      <w:numFmt w:val="decimal"/>
      <w:lvlText w:val="%1."/>
      <w:lvlJc w:val="left"/>
      <w:pPr>
        <w:ind w:left="360" w:hanging="360"/>
      </w:pPr>
      <w:rPr>
        <w:b/>
        <w:bCs w:val="0"/>
        <w:color w:val="auto"/>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3450B6"/>
    <w:multiLevelType w:val="multilevel"/>
    <w:tmpl w:val="1F02D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EA7559"/>
    <w:multiLevelType w:val="multilevel"/>
    <w:tmpl w:val="453C7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1F699B"/>
    <w:multiLevelType w:val="hybridMultilevel"/>
    <w:tmpl w:val="F760A56A"/>
    <w:lvl w:ilvl="0" w:tplc="81B2FA34">
      <w:start w:val="1"/>
      <w:numFmt w:val="decimal"/>
      <w:lvlText w:val="%1."/>
      <w:lvlJc w:val="left"/>
      <w:pPr>
        <w:ind w:left="1428" w:hanging="360"/>
      </w:pPr>
      <w:rPr>
        <w:rFonts w:asciiTheme="majorHAnsi" w:eastAsiaTheme="minorHAnsi" w:hAnsiTheme="majorHAnsi" w:cstheme="majorHAnsi" w:hint="default"/>
        <w:b/>
        <w:bCs w:val="0"/>
        <w:color w:val="auto"/>
        <w:sz w:val="22"/>
        <w:szCs w:val="22"/>
      </w:rPr>
    </w:lvl>
    <w:lvl w:ilvl="1" w:tplc="04090019">
      <w:start w:val="1"/>
      <w:numFmt w:val="lowerLetter"/>
      <w:lvlText w:val="%2."/>
      <w:lvlJc w:val="left"/>
      <w:pPr>
        <w:ind w:left="2148" w:hanging="360"/>
      </w:pPr>
    </w:lvl>
    <w:lvl w:ilvl="2" w:tplc="0409001B">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 w15:restartNumberingAfterBreak="0">
    <w:nsid w:val="167B0EC0"/>
    <w:multiLevelType w:val="multilevel"/>
    <w:tmpl w:val="26167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7B1127C"/>
    <w:multiLevelType w:val="multilevel"/>
    <w:tmpl w:val="89AE6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D684A3"/>
    <w:multiLevelType w:val="multilevel"/>
    <w:tmpl w:val="B6184D18"/>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5D7364"/>
    <w:multiLevelType w:val="hybridMultilevel"/>
    <w:tmpl w:val="082CD364"/>
    <w:lvl w:ilvl="0" w:tplc="3FF40792">
      <w:start w:val="1"/>
      <w:numFmt w:val="decimal"/>
      <w:lvlText w:val="%1."/>
      <w:lvlJc w:val="left"/>
      <w:pPr>
        <w:ind w:left="720" w:hanging="360"/>
      </w:pPr>
    </w:lvl>
    <w:lvl w:ilvl="1" w:tplc="C9B00604">
      <w:start w:val="1"/>
      <w:numFmt w:val="lowerLetter"/>
      <w:lvlText w:val="%2."/>
      <w:lvlJc w:val="left"/>
      <w:pPr>
        <w:ind w:left="1440" w:hanging="360"/>
      </w:pPr>
    </w:lvl>
    <w:lvl w:ilvl="2" w:tplc="0E485438">
      <w:start w:val="1"/>
      <w:numFmt w:val="lowerRoman"/>
      <w:lvlText w:val="%3."/>
      <w:lvlJc w:val="right"/>
      <w:pPr>
        <w:ind w:left="2160" w:hanging="180"/>
      </w:pPr>
    </w:lvl>
    <w:lvl w:ilvl="3" w:tplc="4D7882FE">
      <w:start w:val="1"/>
      <w:numFmt w:val="decimal"/>
      <w:lvlText w:val="%4."/>
      <w:lvlJc w:val="left"/>
      <w:pPr>
        <w:ind w:left="2880" w:hanging="360"/>
      </w:pPr>
    </w:lvl>
    <w:lvl w:ilvl="4" w:tplc="B06CC9F8">
      <w:start w:val="1"/>
      <w:numFmt w:val="lowerLetter"/>
      <w:lvlText w:val="%5."/>
      <w:lvlJc w:val="left"/>
      <w:pPr>
        <w:ind w:left="3600" w:hanging="360"/>
      </w:pPr>
    </w:lvl>
    <w:lvl w:ilvl="5" w:tplc="BFC2FD64">
      <w:start w:val="1"/>
      <w:numFmt w:val="lowerRoman"/>
      <w:lvlText w:val="%6."/>
      <w:lvlJc w:val="right"/>
      <w:pPr>
        <w:ind w:left="4320" w:hanging="180"/>
      </w:pPr>
    </w:lvl>
    <w:lvl w:ilvl="6" w:tplc="6ACED68C">
      <w:start w:val="1"/>
      <w:numFmt w:val="decimal"/>
      <w:lvlText w:val="%7."/>
      <w:lvlJc w:val="left"/>
      <w:pPr>
        <w:ind w:left="5040" w:hanging="360"/>
      </w:pPr>
    </w:lvl>
    <w:lvl w:ilvl="7" w:tplc="7A904FB4">
      <w:start w:val="1"/>
      <w:numFmt w:val="lowerLetter"/>
      <w:lvlText w:val="%8."/>
      <w:lvlJc w:val="left"/>
      <w:pPr>
        <w:ind w:left="5760" w:hanging="360"/>
      </w:pPr>
    </w:lvl>
    <w:lvl w:ilvl="8" w:tplc="0AACC8C0">
      <w:start w:val="1"/>
      <w:numFmt w:val="lowerRoman"/>
      <w:lvlText w:val="%9."/>
      <w:lvlJc w:val="right"/>
      <w:pPr>
        <w:ind w:left="6480" w:hanging="180"/>
      </w:pPr>
    </w:lvl>
  </w:abstractNum>
  <w:abstractNum w:abstractNumId="14" w15:restartNumberingAfterBreak="0">
    <w:nsid w:val="27012218"/>
    <w:multiLevelType w:val="hybridMultilevel"/>
    <w:tmpl w:val="4B9067AA"/>
    <w:lvl w:ilvl="0" w:tplc="8250BA1C">
      <w:start w:val="1"/>
      <w:numFmt w:val="decimal"/>
      <w:lvlText w:val="%1."/>
      <w:lvlJc w:val="left"/>
      <w:pPr>
        <w:ind w:left="720" w:hanging="360"/>
      </w:pPr>
    </w:lvl>
    <w:lvl w:ilvl="1" w:tplc="6D7EDC72">
      <w:start w:val="1"/>
      <w:numFmt w:val="lowerLetter"/>
      <w:lvlText w:val="%2."/>
      <w:lvlJc w:val="left"/>
      <w:pPr>
        <w:ind w:left="1440" w:hanging="360"/>
      </w:pPr>
    </w:lvl>
    <w:lvl w:ilvl="2" w:tplc="B6602AAC">
      <w:start w:val="1"/>
      <w:numFmt w:val="lowerRoman"/>
      <w:lvlText w:val="%3."/>
      <w:lvlJc w:val="right"/>
      <w:pPr>
        <w:ind w:left="2160" w:hanging="180"/>
      </w:pPr>
    </w:lvl>
    <w:lvl w:ilvl="3" w:tplc="8F064BC8">
      <w:start w:val="1"/>
      <w:numFmt w:val="decimal"/>
      <w:lvlText w:val="%4."/>
      <w:lvlJc w:val="left"/>
      <w:pPr>
        <w:ind w:left="2880" w:hanging="360"/>
      </w:pPr>
    </w:lvl>
    <w:lvl w:ilvl="4" w:tplc="CFE05E0A">
      <w:start w:val="1"/>
      <w:numFmt w:val="lowerLetter"/>
      <w:lvlText w:val="%5."/>
      <w:lvlJc w:val="left"/>
      <w:pPr>
        <w:ind w:left="3600" w:hanging="360"/>
      </w:pPr>
    </w:lvl>
    <w:lvl w:ilvl="5" w:tplc="398C3F92">
      <w:start w:val="1"/>
      <w:numFmt w:val="lowerRoman"/>
      <w:lvlText w:val="%6."/>
      <w:lvlJc w:val="right"/>
      <w:pPr>
        <w:ind w:left="4320" w:hanging="180"/>
      </w:pPr>
    </w:lvl>
    <w:lvl w:ilvl="6" w:tplc="57C0D758">
      <w:start w:val="1"/>
      <w:numFmt w:val="decimal"/>
      <w:lvlText w:val="%7."/>
      <w:lvlJc w:val="left"/>
      <w:pPr>
        <w:ind w:left="5040" w:hanging="360"/>
      </w:pPr>
    </w:lvl>
    <w:lvl w:ilvl="7" w:tplc="ED52FF66">
      <w:start w:val="1"/>
      <w:numFmt w:val="lowerLetter"/>
      <w:lvlText w:val="%8."/>
      <w:lvlJc w:val="left"/>
      <w:pPr>
        <w:ind w:left="5760" w:hanging="360"/>
      </w:pPr>
    </w:lvl>
    <w:lvl w:ilvl="8" w:tplc="AB88EF24">
      <w:start w:val="1"/>
      <w:numFmt w:val="lowerRoman"/>
      <w:lvlText w:val="%9."/>
      <w:lvlJc w:val="right"/>
      <w:pPr>
        <w:ind w:left="6480" w:hanging="180"/>
      </w:pPr>
    </w:lvl>
  </w:abstractNum>
  <w:abstractNum w:abstractNumId="15" w15:restartNumberingAfterBreak="0">
    <w:nsid w:val="297A1E3A"/>
    <w:multiLevelType w:val="hybridMultilevel"/>
    <w:tmpl w:val="63C60E7E"/>
    <w:lvl w:ilvl="0" w:tplc="640C88F4">
      <w:start w:val="1"/>
      <w:numFmt w:val="bullet"/>
      <w:lvlText w:val="-"/>
      <w:lvlJc w:val="left"/>
      <w:pPr>
        <w:ind w:left="720" w:hanging="360"/>
      </w:pPr>
      <w:rPr>
        <w:rFonts w:ascii="Aptos" w:hAnsi="Aptos" w:hint="default"/>
      </w:rPr>
    </w:lvl>
    <w:lvl w:ilvl="1" w:tplc="9280CF56">
      <w:start w:val="1"/>
      <w:numFmt w:val="bullet"/>
      <w:lvlText w:val="o"/>
      <w:lvlJc w:val="left"/>
      <w:pPr>
        <w:ind w:left="1440" w:hanging="360"/>
      </w:pPr>
      <w:rPr>
        <w:rFonts w:ascii="Courier New" w:hAnsi="Courier New" w:hint="default"/>
      </w:rPr>
    </w:lvl>
    <w:lvl w:ilvl="2" w:tplc="8BD4ACCC">
      <w:start w:val="1"/>
      <w:numFmt w:val="bullet"/>
      <w:lvlText w:val=""/>
      <w:lvlJc w:val="left"/>
      <w:pPr>
        <w:ind w:left="2160" w:hanging="360"/>
      </w:pPr>
      <w:rPr>
        <w:rFonts w:ascii="Wingdings" w:hAnsi="Wingdings" w:hint="default"/>
      </w:rPr>
    </w:lvl>
    <w:lvl w:ilvl="3" w:tplc="B05C479E">
      <w:start w:val="1"/>
      <w:numFmt w:val="bullet"/>
      <w:lvlText w:val=""/>
      <w:lvlJc w:val="left"/>
      <w:pPr>
        <w:ind w:left="2880" w:hanging="360"/>
      </w:pPr>
      <w:rPr>
        <w:rFonts w:ascii="Symbol" w:hAnsi="Symbol" w:hint="default"/>
      </w:rPr>
    </w:lvl>
    <w:lvl w:ilvl="4" w:tplc="EC18E358">
      <w:start w:val="1"/>
      <w:numFmt w:val="bullet"/>
      <w:lvlText w:val="o"/>
      <w:lvlJc w:val="left"/>
      <w:pPr>
        <w:ind w:left="3600" w:hanging="360"/>
      </w:pPr>
      <w:rPr>
        <w:rFonts w:ascii="Courier New" w:hAnsi="Courier New" w:hint="default"/>
      </w:rPr>
    </w:lvl>
    <w:lvl w:ilvl="5" w:tplc="6344C4B4">
      <w:start w:val="1"/>
      <w:numFmt w:val="bullet"/>
      <w:lvlText w:val=""/>
      <w:lvlJc w:val="left"/>
      <w:pPr>
        <w:ind w:left="4320" w:hanging="360"/>
      </w:pPr>
      <w:rPr>
        <w:rFonts w:ascii="Wingdings" w:hAnsi="Wingdings" w:hint="default"/>
      </w:rPr>
    </w:lvl>
    <w:lvl w:ilvl="6" w:tplc="CD1C39B2">
      <w:start w:val="1"/>
      <w:numFmt w:val="bullet"/>
      <w:lvlText w:val=""/>
      <w:lvlJc w:val="left"/>
      <w:pPr>
        <w:ind w:left="5040" w:hanging="360"/>
      </w:pPr>
      <w:rPr>
        <w:rFonts w:ascii="Symbol" w:hAnsi="Symbol" w:hint="default"/>
      </w:rPr>
    </w:lvl>
    <w:lvl w:ilvl="7" w:tplc="BF80467C">
      <w:start w:val="1"/>
      <w:numFmt w:val="bullet"/>
      <w:lvlText w:val="o"/>
      <w:lvlJc w:val="left"/>
      <w:pPr>
        <w:ind w:left="5760" w:hanging="360"/>
      </w:pPr>
      <w:rPr>
        <w:rFonts w:ascii="Courier New" w:hAnsi="Courier New" w:hint="default"/>
      </w:rPr>
    </w:lvl>
    <w:lvl w:ilvl="8" w:tplc="707CC62E">
      <w:start w:val="1"/>
      <w:numFmt w:val="bullet"/>
      <w:lvlText w:val=""/>
      <w:lvlJc w:val="left"/>
      <w:pPr>
        <w:ind w:left="6480" w:hanging="360"/>
      </w:pPr>
      <w:rPr>
        <w:rFonts w:ascii="Wingdings" w:hAnsi="Wingdings" w:hint="default"/>
      </w:rPr>
    </w:lvl>
  </w:abstractNum>
  <w:abstractNum w:abstractNumId="16" w15:restartNumberingAfterBreak="0">
    <w:nsid w:val="299A2BCB"/>
    <w:multiLevelType w:val="multilevel"/>
    <w:tmpl w:val="91CCA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C08686D"/>
    <w:multiLevelType w:val="multilevel"/>
    <w:tmpl w:val="D82E1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7C5089"/>
    <w:multiLevelType w:val="hybridMultilevel"/>
    <w:tmpl w:val="BDC243F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E34365F"/>
    <w:multiLevelType w:val="multilevel"/>
    <w:tmpl w:val="2A7649C4"/>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95E6327"/>
    <w:multiLevelType w:val="multilevel"/>
    <w:tmpl w:val="21EE0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135121A"/>
    <w:multiLevelType w:val="multilevel"/>
    <w:tmpl w:val="24BE0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19E5B2C"/>
    <w:multiLevelType w:val="multilevel"/>
    <w:tmpl w:val="D7E4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6972E63"/>
    <w:multiLevelType w:val="multilevel"/>
    <w:tmpl w:val="9998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C043554"/>
    <w:multiLevelType w:val="multilevel"/>
    <w:tmpl w:val="D8ACB92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5" w15:restartNumberingAfterBreak="0">
    <w:nsid w:val="5ED26067"/>
    <w:multiLevelType w:val="hybridMultilevel"/>
    <w:tmpl w:val="1692420E"/>
    <w:lvl w:ilvl="0" w:tplc="6CA67DFA">
      <w:start w:val="1"/>
      <w:numFmt w:val="decimal"/>
      <w:lvlText w:val="%1."/>
      <w:lvlJc w:val="left"/>
      <w:pPr>
        <w:ind w:left="720" w:hanging="360"/>
      </w:pPr>
    </w:lvl>
    <w:lvl w:ilvl="1" w:tplc="864CB7A2">
      <w:start w:val="1"/>
      <w:numFmt w:val="lowerLetter"/>
      <w:lvlText w:val="%2."/>
      <w:lvlJc w:val="left"/>
      <w:pPr>
        <w:ind w:left="1440" w:hanging="360"/>
      </w:pPr>
    </w:lvl>
    <w:lvl w:ilvl="2" w:tplc="581CA0C6">
      <w:start w:val="1"/>
      <w:numFmt w:val="lowerRoman"/>
      <w:lvlText w:val="%3."/>
      <w:lvlJc w:val="right"/>
      <w:pPr>
        <w:ind w:left="2160" w:hanging="180"/>
      </w:pPr>
    </w:lvl>
    <w:lvl w:ilvl="3" w:tplc="60E46080">
      <w:start w:val="1"/>
      <w:numFmt w:val="decimal"/>
      <w:lvlText w:val="%4."/>
      <w:lvlJc w:val="left"/>
      <w:pPr>
        <w:ind w:left="2880" w:hanging="360"/>
      </w:pPr>
    </w:lvl>
    <w:lvl w:ilvl="4" w:tplc="A3EADBD2">
      <w:start w:val="1"/>
      <w:numFmt w:val="lowerLetter"/>
      <w:lvlText w:val="%5."/>
      <w:lvlJc w:val="left"/>
      <w:pPr>
        <w:ind w:left="3600" w:hanging="360"/>
      </w:pPr>
    </w:lvl>
    <w:lvl w:ilvl="5" w:tplc="AF7476A8">
      <w:start w:val="1"/>
      <w:numFmt w:val="lowerRoman"/>
      <w:lvlText w:val="%6."/>
      <w:lvlJc w:val="right"/>
      <w:pPr>
        <w:ind w:left="4320" w:hanging="180"/>
      </w:pPr>
    </w:lvl>
    <w:lvl w:ilvl="6" w:tplc="A1C47E2E">
      <w:start w:val="1"/>
      <w:numFmt w:val="decimal"/>
      <w:lvlText w:val="%7."/>
      <w:lvlJc w:val="left"/>
      <w:pPr>
        <w:ind w:left="5040" w:hanging="360"/>
      </w:pPr>
    </w:lvl>
    <w:lvl w:ilvl="7" w:tplc="2B9C8CFC">
      <w:start w:val="1"/>
      <w:numFmt w:val="lowerLetter"/>
      <w:lvlText w:val="%8."/>
      <w:lvlJc w:val="left"/>
      <w:pPr>
        <w:ind w:left="5760" w:hanging="360"/>
      </w:pPr>
    </w:lvl>
    <w:lvl w:ilvl="8" w:tplc="3CF852C6">
      <w:start w:val="1"/>
      <w:numFmt w:val="lowerRoman"/>
      <w:lvlText w:val="%9."/>
      <w:lvlJc w:val="right"/>
      <w:pPr>
        <w:ind w:left="6480" w:hanging="180"/>
      </w:pPr>
    </w:lvl>
  </w:abstractNum>
  <w:abstractNum w:abstractNumId="26" w15:restartNumberingAfterBreak="0">
    <w:nsid w:val="61F65357"/>
    <w:multiLevelType w:val="multilevel"/>
    <w:tmpl w:val="EE527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2CA36CA"/>
    <w:multiLevelType w:val="multilevel"/>
    <w:tmpl w:val="F760A56A"/>
    <w:lvl w:ilvl="0">
      <w:start w:val="1"/>
      <w:numFmt w:val="decimal"/>
      <w:lvlText w:val="%1."/>
      <w:lvlJc w:val="left"/>
      <w:pPr>
        <w:ind w:left="360" w:hanging="360"/>
      </w:pPr>
      <w:rPr>
        <w:b/>
        <w:bCs w:val="0"/>
        <w:color w:val="auto"/>
        <w:sz w:val="22"/>
        <w:szCs w:val="22"/>
      </w:rPr>
    </w:lvl>
    <w:lvl w:ilvl="1">
      <w:start w:val="1"/>
      <w:numFmt w:val="decimal"/>
      <w:lvlText w:val="%1.%2."/>
      <w:lvlJc w:val="left"/>
      <w:pPr>
        <w:ind w:left="1080" w:hanging="360"/>
      </w:pPr>
    </w:lvl>
    <w:lvl w:ilvl="2">
      <w:start w:val="1"/>
      <w:numFmt w:val="decimal"/>
      <w:lvlText w:val="%1.%2.%3."/>
      <w:lvlJc w:val="left"/>
      <w:pPr>
        <w:ind w:left="1800" w:hanging="180"/>
      </w:pPr>
    </w:lvl>
    <w:lvl w:ilvl="3" w:tentative="1">
      <w:start w:val="1"/>
      <w:numFmt w:val="decimal"/>
      <w:lvlText w:val="%1.%2.%3.%4."/>
      <w:lvlJc w:val="left"/>
      <w:pPr>
        <w:ind w:left="2520" w:hanging="360"/>
      </w:pPr>
    </w:lvl>
    <w:lvl w:ilvl="4" w:tentative="1">
      <w:start w:val="1"/>
      <w:numFmt w:val="decimal"/>
      <w:lvlText w:val="%1.%2.%3.%4.%5."/>
      <w:lvlJc w:val="left"/>
      <w:pPr>
        <w:ind w:left="3240" w:hanging="360"/>
      </w:pPr>
    </w:lvl>
    <w:lvl w:ilvl="5" w:tentative="1">
      <w:start w:val="1"/>
      <w:numFmt w:val="decimal"/>
      <w:lvlText w:val="%1.%2.%3.%4.%5.%6."/>
      <w:lvlJc w:val="left"/>
      <w:pPr>
        <w:ind w:left="3960" w:hanging="180"/>
      </w:pPr>
    </w:lvl>
    <w:lvl w:ilvl="6" w:tentative="1">
      <w:start w:val="1"/>
      <w:numFmt w:val="decimal"/>
      <w:lvlText w:val="%1.%2.%3.%4.%5.%6.%7."/>
      <w:lvlJc w:val="left"/>
      <w:pPr>
        <w:ind w:left="4680" w:hanging="360"/>
      </w:pPr>
    </w:lvl>
    <w:lvl w:ilvl="7" w:tentative="1">
      <w:start w:val="1"/>
      <w:numFmt w:val="decimal"/>
      <w:lvlText w:val="%1.%2.%3.%4.%5.%6.%7.%8."/>
      <w:lvlJc w:val="left"/>
      <w:pPr>
        <w:ind w:left="5400" w:hanging="360"/>
      </w:pPr>
    </w:lvl>
    <w:lvl w:ilvl="8" w:tentative="1">
      <w:start w:val="1"/>
      <w:numFmt w:val="decimal"/>
      <w:lvlText w:val="%1.%2.%3.%4.%5.%6.%7.%8.%9."/>
      <w:lvlJc w:val="left"/>
      <w:pPr>
        <w:ind w:left="6120" w:hanging="180"/>
      </w:pPr>
    </w:lvl>
  </w:abstractNum>
  <w:abstractNum w:abstractNumId="28" w15:restartNumberingAfterBreak="0">
    <w:nsid w:val="6354695B"/>
    <w:multiLevelType w:val="multilevel"/>
    <w:tmpl w:val="0BD41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A0F1C47"/>
    <w:multiLevelType w:val="multilevel"/>
    <w:tmpl w:val="17DCB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A464CDC"/>
    <w:multiLevelType w:val="hybridMultilevel"/>
    <w:tmpl w:val="481CDB70"/>
    <w:lvl w:ilvl="0" w:tplc="169000CE">
      <w:start w:val="1"/>
      <w:numFmt w:val="decimal"/>
      <w:lvlText w:val="%1."/>
      <w:lvlJc w:val="left"/>
      <w:pPr>
        <w:ind w:left="720" w:hanging="360"/>
      </w:pPr>
    </w:lvl>
    <w:lvl w:ilvl="1" w:tplc="5F56F8C8">
      <w:start w:val="1"/>
      <w:numFmt w:val="lowerLetter"/>
      <w:lvlText w:val="%2."/>
      <w:lvlJc w:val="left"/>
      <w:pPr>
        <w:ind w:left="1440" w:hanging="360"/>
      </w:pPr>
    </w:lvl>
    <w:lvl w:ilvl="2" w:tplc="93DAA4FA">
      <w:start w:val="1"/>
      <w:numFmt w:val="lowerRoman"/>
      <w:lvlText w:val="%3."/>
      <w:lvlJc w:val="right"/>
      <w:pPr>
        <w:ind w:left="2160" w:hanging="180"/>
      </w:pPr>
    </w:lvl>
    <w:lvl w:ilvl="3" w:tplc="A3347E88">
      <w:start w:val="1"/>
      <w:numFmt w:val="decimal"/>
      <w:lvlText w:val="%4."/>
      <w:lvlJc w:val="left"/>
      <w:pPr>
        <w:ind w:left="2880" w:hanging="360"/>
      </w:pPr>
    </w:lvl>
    <w:lvl w:ilvl="4" w:tplc="8DD49516">
      <w:start w:val="1"/>
      <w:numFmt w:val="lowerLetter"/>
      <w:lvlText w:val="%5."/>
      <w:lvlJc w:val="left"/>
      <w:pPr>
        <w:ind w:left="3600" w:hanging="360"/>
      </w:pPr>
    </w:lvl>
    <w:lvl w:ilvl="5" w:tplc="181E8DB6">
      <w:start w:val="1"/>
      <w:numFmt w:val="lowerRoman"/>
      <w:lvlText w:val="%6."/>
      <w:lvlJc w:val="right"/>
      <w:pPr>
        <w:ind w:left="4320" w:hanging="180"/>
      </w:pPr>
    </w:lvl>
    <w:lvl w:ilvl="6" w:tplc="1A56CC38">
      <w:start w:val="1"/>
      <w:numFmt w:val="decimal"/>
      <w:lvlText w:val="%7."/>
      <w:lvlJc w:val="left"/>
      <w:pPr>
        <w:ind w:left="5040" w:hanging="360"/>
      </w:pPr>
    </w:lvl>
    <w:lvl w:ilvl="7" w:tplc="274CE416">
      <w:start w:val="1"/>
      <w:numFmt w:val="lowerLetter"/>
      <w:lvlText w:val="%8."/>
      <w:lvlJc w:val="left"/>
      <w:pPr>
        <w:ind w:left="5760" w:hanging="360"/>
      </w:pPr>
    </w:lvl>
    <w:lvl w:ilvl="8" w:tplc="CB70142A">
      <w:start w:val="1"/>
      <w:numFmt w:val="lowerRoman"/>
      <w:lvlText w:val="%9."/>
      <w:lvlJc w:val="right"/>
      <w:pPr>
        <w:ind w:left="6480" w:hanging="180"/>
      </w:pPr>
    </w:lvl>
  </w:abstractNum>
  <w:abstractNum w:abstractNumId="31" w15:restartNumberingAfterBreak="0">
    <w:nsid w:val="6C078F99"/>
    <w:multiLevelType w:val="hybridMultilevel"/>
    <w:tmpl w:val="43986F3C"/>
    <w:lvl w:ilvl="0" w:tplc="D36419BC">
      <w:start w:val="1"/>
      <w:numFmt w:val="decimal"/>
      <w:lvlText w:val="%1."/>
      <w:lvlJc w:val="left"/>
      <w:pPr>
        <w:ind w:left="720" w:hanging="360"/>
      </w:pPr>
    </w:lvl>
    <w:lvl w:ilvl="1" w:tplc="A336BB2A">
      <w:start w:val="1"/>
      <w:numFmt w:val="lowerLetter"/>
      <w:lvlText w:val="%2."/>
      <w:lvlJc w:val="left"/>
      <w:pPr>
        <w:ind w:left="1440" w:hanging="360"/>
      </w:pPr>
    </w:lvl>
    <w:lvl w:ilvl="2" w:tplc="DA521326">
      <w:start w:val="1"/>
      <w:numFmt w:val="lowerRoman"/>
      <w:lvlText w:val="%3."/>
      <w:lvlJc w:val="right"/>
      <w:pPr>
        <w:ind w:left="2160" w:hanging="180"/>
      </w:pPr>
    </w:lvl>
    <w:lvl w:ilvl="3" w:tplc="12129420">
      <w:start w:val="1"/>
      <w:numFmt w:val="decimal"/>
      <w:lvlText w:val="%4."/>
      <w:lvlJc w:val="left"/>
      <w:pPr>
        <w:ind w:left="2880" w:hanging="360"/>
      </w:pPr>
    </w:lvl>
    <w:lvl w:ilvl="4" w:tplc="23EC5E3C">
      <w:start w:val="1"/>
      <w:numFmt w:val="lowerLetter"/>
      <w:lvlText w:val="%5."/>
      <w:lvlJc w:val="left"/>
      <w:pPr>
        <w:ind w:left="3600" w:hanging="360"/>
      </w:pPr>
    </w:lvl>
    <w:lvl w:ilvl="5" w:tplc="C188EED2">
      <w:start w:val="1"/>
      <w:numFmt w:val="lowerRoman"/>
      <w:lvlText w:val="%6."/>
      <w:lvlJc w:val="right"/>
      <w:pPr>
        <w:ind w:left="4320" w:hanging="180"/>
      </w:pPr>
    </w:lvl>
    <w:lvl w:ilvl="6" w:tplc="823A4B34">
      <w:start w:val="1"/>
      <w:numFmt w:val="decimal"/>
      <w:lvlText w:val="%7."/>
      <w:lvlJc w:val="left"/>
      <w:pPr>
        <w:ind w:left="5040" w:hanging="360"/>
      </w:pPr>
    </w:lvl>
    <w:lvl w:ilvl="7" w:tplc="7898E0DC">
      <w:start w:val="1"/>
      <w:numFmt w:val="lowerLetter"/>
      <w:lvlText w:val="%8."/>
      <w:lvlJc w:val="left"/>
      <w:pPr>
        <w:ind w:left="5760" w:hanging="360"/>
      </w:pPr>
    </w:lvl>
    <w:lvl w:ilvl="8" w:tplc="EA44C02E">
      <w:start w:val="1"/>
      <w:numFmt w:val="lowerRoman"/>
      <w:lvlText w:val="%9."/>
      <w:lvlJc w:val="right"/>
      <w:pPr>
        <w:ind w:left="6480" w:hanging="180"/>
      </w:pPr>
    </w:lvl>
  </w:abstractNum>
  <w:abstractNum w:abstractNumId="32" w15:restartNumberingAfterBreak="0">
    <w:nsid w:val="78A0751B"/>
    <w:multiLevelType w:val="hybridMultilevel"/>
    <w:tmpl w:val="F09C1A58"/>
    <w:lvl w:ilvl="0" w:tplc="7E6C6144">
      <w:start w:val="9"/>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AD2CFF"/>
    <w:multiLevelType w:val="multilevel"/>
    <w:tmpl w:val="D5DA9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DCD7A6C"/>
    <w:multiLevelType w:val="multilevel"/>
    <w:tmpl w:val="C9AA3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30"/>
  </w:num>
  <w:num w:numId="3">
    <w:abstractNumId w:val="13"/>
  </w:num>
  <w:num w:numId="4">
    <w:abstractNumId w:val="25"/>
  </w:num>
  <w:num w:numId="5">
    <w:abstractNumId w:val="24"/>
  </w:num>
  <w:num w:numId="6">
    <w:abstractNumId w:val="14"/>
  </w:num>
  <w:num w:numId="7">
    <w:abstractNumId w:val="12"/>
  </w:num>
  <w:num w:numId="8">
    <w:abstractNumId w:val="19"/>
  </w:num>
  <w:num w:numId="9">
    <w:abstractNumId w:val="31"/>
  </w:num>
  <w:num w:numId="10">
    <w:abstractNumId w:val="1"/>
  </w:num>
  <w:num w:numId="11">
    <w:abstractNumId w:val="2"/>
  </w:num>
  <w:num w:numId="12">
    <w:abstractNumId w:val="18"/>
  </w:num>
  <w:num w:numId="13">
    <w:abstractNumId w:val="1"/>
  </w:num>
  <w:num w:numId="14">
    <w:abstractNumId w:val="1"/>
  </w:num>
  <w:num w:numId="15">
    <w:abstractNumId w:val="1"/>
  </w:num>
  <w:num w:numId="16">
    <w:abstractNumId w:val="1"/>
  </w:num>
  <w:num w:numId="17">
    <w:abstractNumId w:val="9"/>
  </w:num>
  <w:num w:numId="18">
    <w:abstractNumId w:val="32"/>
  </w:num>
  <w:num w:numId="19">
    <w:abstractNumId w:val="1"/>
  </w:num>
  <w:num w:numId="20">
    <w:abstractNumId w:val="27"/>
  </w:num>
  <w:num w:numId="21">
    <w:abstractNumId w:val="1"/>
  </w:num>
  <w:num w:numId="22">
    <w:abstractNumId w:val="6"/>
  </w:num>
  <w:num w:numId="23">
    <w:abstractNumId w:val="5"/>
  </w:num>
  <w:num w:numId="24">
    <w:abstractNumId w:val="26"/>
  </w:num>
  <w:num w:numId="25">
    <w:abstractNumId w:val="21"/>
  </w:num>
  <w:num w:numId="26">
    <w:abstractNumId w:val="23"/>
  </w:num>
  <w:num w:numId="27">
    <w:abstractNumId w:val="22"/>
  </w:num>
  <w:num w:numId="28">
    <w:abstractNumId w:val="28"/>
  </w:num>
  <w:num w:numId="29">
    <w:abstractNumId w:val="11"/>
  </w:num>
  <w:num w:numId="30">
    <w:abstractNumId w:val="33"/>
  </w:num>
  <w:num w:numId="31">
    <w:abstractNumId w:val="8"/>
  </w:num>
  <w:num w:numId="32">
    <w:abstractNumId w:val="20"/>
  </w:num>
  <w:num w:numId="33">
    <w:abstractNumId w:val="0"/>
  </w:num>
  <w:num w:numId="34">
    <w:abstractNumId w:val="29"/>
  </w:num>
  <w:num w:numId="35">
    <w:abstractNumId w:val="16"/>
  </w:num>
  <w:num w:numId="36">
    <w:abstractNumId w:val="10"/>
  </w:num>
  <w:num w:numId="37">
    <w:abstractNumId w:val="17"/>
  </w:num>
  <w:num w:numId="38">
    <w:abstractNumId w:val="7"/>
  </w:num>
  <w:num w:numId="39">
    <w:abstractNumId w:val="3"/>
  </w:num>
  <w:num w:numId="40">
    <w:abstractNumId w:val="4"/>
  </w:num>
  <w:num w:numId="41">
    <w:abstractNumId w:val="34"/>
  </w:num>
  <w:num w:numId="42">
    <w:abstractNumId w:val="1"/>
  </w:num>
  <w:num w:numId="43">
    <w:abstractNumId w:val="1"/>
  </w:num>
  <w:num w:numId="44">
    <w:abstractNumId w:val="1"/>
  </w:num>
  <w:num w:numId="45">
    <w:abstractNumId w:val="1"/>
  </w:num>
  <w:num w:numId="46">
    <w:abstractNumId w:val="1"/>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A43"/>
    <w:rsid w:val="0001F456"/>
    <w:rsid w:val="000257F8"/>
    <w:rsid w:val="00075942"/>
    <w:rsid w:val="00084FDA"/>
    <w:rsid w:val="000A5DEE"/>
    <w:rsid w:val="000C5990"/>
    <w:rsid w:val="000D5210"/>
    <w:rsid w:val="0016958A"/>
    <w:rsid w:val="001D3E62"/>
    <w:rsid w:val="002256C9"/>
    <w:rsid w:val="00290359"/>
    <w:rsid w:val="002D39C4"/>
    <w:rsid w:val="002E104B"/>
    <w:rsid w:val="0036460B"/>
    <w:rsid w:val="003BBF29"/>
    <w:rsid w:val="003F026A"/>
    <w:rsid w:val="00492D3F"/>
    <w:rsid w:val="00495999"/>
    <w:rsid w:val="004D208A"/>
    <w:rsid w:val="004D6F08"/>
    <w:rsid w:val="004E238F"/>
    <w:rsid w:val="004E39CC"/>
    <w:rsid w:val="00506F4A"/>
    <w:rsid w:val="00527348"/>
    <w:rsid w:val="00564704"/>
    <w:rsid w:val="00587845"/>
    <w:rsid w:val="0058AC39"/>
    <w:rsid w:val="0059287E"/>
    <w:rsid w:val="00594968"/>
    <w:rsid w:val="005C4890"/>
    <w:rsid w:val="00606634"/>
    <w:rsid w:val="00608D8E"/>
    <w:rsid w:val="006E4C02"/>
    <w:rsid w:val="00707277"/>
    <w:rsid w:val="007342C0"/>
    <w:rsid w:val="007414AE"/>
    <w:rsid w:val="00744634"/>
    <w:rsid w:val="007769E0"/>
    <w:rsid w:val="00820991"/>
    <w:rsid w:val="008925AB"/>
    <w:rsid w:val="00920F5B"/>
    <w:rsid w:val="009C3A43"/>
    <w:rsid w:val="00A04A1C"/>
    <w:rsid w:val="00B231C1"/>
    <w:rsid w:val="00B66449"/>
    <w:rsid w:val="00B80100"/>
    <w:rsid w:val="00C26C38"/>
    <w:rsid w:val="00C61A6B"/>
    <w:rsid w:val="00C77BB7"/>
    <w:rsid w:val="00C9559A"/>
    <w:rsid w:val="00C9633D"/>
    <w:rsid w:val="00D10DB6"/>
    <w:rsid w:val="00D14D80"/>
    <w:rsid w:val="00D4691C"/>
    <w:rsid w:val="00D61A04"/>
    <w:rsid w:val="00DF5EE2"/>
    <w:rsid w:val="00E40A9D"/>
    <w:rsid w:val="00EA36CB"/>
    <w:rsid w:val="00EB7912"/>
    <w:rsid w:val="01063C32"/>
    <w:rsid w:val="012D5A69"/>
    <w:rsid w:val="0132B9AE"/>
    <w:rsid w:val="013438C2"/>
    <w:rsid w:val="0150D470"/>
    <w:rsid w:val="0167CCF4"/>
    <w:rsid w:val="018F7E74"/>
    <w:rsid w:val="0197D3DA"/>
    <w:rsid w:val="01C263CA"/>
    <w:rsid w:val="01F21F1B"/>
    <w:rsid w:val="0236EFA7"/>
    <w:rsid w:val="0264DB48"/>
    <w:rsid w:val="027002EA"/>
    <w:rsid w:val="02874F9A"/>
    <w:rsid w:val="028ED6C5"/>
    <w:rsid w:val="02E66242"/>
    <w:rsid w:val="02FC42E1"/>
    <w:rsid w:val="0317EE2F"/>
    <w:rsid w:val="03220A18"/>
    <w:rsid w:val="0353DDA0"/>
    <w:rsid w:val="038FB462"/>
    <w:rsid w:val="03B7C4A0"/>
    <w:rsid w:val="03B9BCD5"/>
    <w:rsid w:val="03C9309C"/>
    <w:rsid w:val="03C9E009"/>
    <w:rsid w:val="03CCBC62"/>
    <w:rsid w:val="03FDE3F0"/>
    <w:rsid w:val="041EEF4F"/>
    <w:rsid w:val="04379C11"/>
    <w:rsid w:val="04398137"/>
    <w:rsid w:val="043DD12B"/>
    <w:rsid w:val="04452FB2"/>
    <w:rsid w:val="0461FB70"/>
    <w:rsid w:val="046C2CCB"/>
    <w:rsid w:val="04BBFAED"/>
    <w:rsid w:val="04D228FB"/>
    <w:rsid w:val="04E03B2A"/>
    <w:rsid w:val="0538F63B"/>
    <w:rsid w:val="05467C90"/>
    <w:rsid w:val="055EC565"/>
    <w:rsid w:val="05AF7195"/>
    <w:rsid w:val="05CAA94D"/>
    <w:rsid w:val="05EB8073"/>
    <w:rsid w:val="0617FAEB"/>
    <w:rsid w:val="0653B47A"/>
    <w:rsid w:val="067411DF"/>
    <w:rsid w:val="067B226D"/>
    <w:rsid w:val="068ACC62"/>
    <w:rsid w:val="068E0B9E"/>
    <w:rsid w:val="06AC96ED"/>
    <w:rsid w:val="06C56FEB"/>
    <w:rsid w:val="06C6E393"/>
    <w:rsid w:val="06F428E0"/>
    <w:rsid w:val="0720F616"/>
    <w:rsid w:val="0724B964"/>
    <w:rsid w:val="074406AE"/>
    <w:rsid w:val="076E5F6D"/>
    <w:rsid w:val="078A471F"/>
    <w:rsid w:val="079DDFA8"/>
    <w:rsid w:val="07A1B25A"/>
    <w:rsid w:val="07E8CAFC"/>
    <w:rsid w:val="082841C5"/>
    <w:rsid w:val="085C2504"/>
    <w:rsid w:val="085C6897"/>
    <w:rsid w:val="085E4406"/>
    <w:rsid w:val="0885A6B6"/>
    <w:rsid w:val="0885B579"/>
    <w:rsid w:val="0897F60A"/>
    <w:rsid w:val="08A69D42"/>
    <w:rsid w:val="08B1513B"/>
    <w:rsid w:val="08BF5B4B"/>
    <w:rsid w:val="08C4496F"/>
    <w:rsid w:val="08DCF2F6"/>
    <w:rsid w:val="08E6D2D1"/>
    <w:rsid w:val="08F747F1"/>
    <w:rsid w:val="08F9E0AD"/>
    <w:rsid w:val="090CEE24"/>
    <w:rsid w:val="091A1B26"/>
    <w:rsid w:val="092E4735"/>
    <w:rsid w:val="09402E12"/>
    <w:rsid w:val="0940B372"/>
    <w:rsid w:val="097A31CC"/>
    <w:rsid w:val="098D29EA"/>
    <w:rsid w:val="09909B9E"/>
    <w:rsid w:val="09C238CD"/>
    <w:rsid w:val="09ED5380"/>
    <w:rsid w:val="09F7C29F"/>
    <w:rsid w:val="0A0F9F37"/>
    <w:rsid w:val="0A17F8B1"/>
    <w:rsid w:val="0A338026"/>
    <w:rsid w:val="0A411F6E"/>
    <w:rsid w:val="0A6183C2"/>
    <w:rsid w:val="0A9B1EBE"/>
    <w:rsid w:val="0AB2B4B5"/>
    <w:rsid w:val="0AC3FD69"/>
    <w:rsid w:val="0AD780B8"/>
    <w:rsid w:val="0AF5269C"/>
    <w:rsid w:val="0B2305A5"/>
    <w:rsid w:val="0B232A95"/>
    <w:rsid w:val="0B40F867"/>
    <w:rsid w:val="0B5FEB1D"/>
    <w:rsid w:val="0B7D992C"/>
    <w:rsid w:val="0B834B00"/>
    <w:rsid w:val="0B8E79F4"/>
    <w:rsid w:val="0B967EDC"/>
    <w:rsid w:val="0BD17A37"/>
    <w:rsid w:val="0C028CFD"/>
    <w:rsid w:val="0C25F0CC"/>
    <w:rsid w:val="0C3F1839"/>
    <w:rsid w:val="0C6F9899"/>
    <w:rsid w:val="0C840596"/>
    <w:rsid w:val="0C8B4E2A"/>
    <w:rsid w:val="0CA0CF98"/>
    <w:rsid w:val="0CB316F4"/>
    <w:rsid w:val="0CD1791C"/>
    <w:rsid w:val="0CD3791C"/>
    <w:rsid w:val="0CDC0964"/>
    <w:rsid w:val="0CE939B0"/>
    <w:rsid w:val="0D03C480"/>
    <w:rsid w:val="0D069C8B"/>
    <w:rsid w:val="0D219D85"/>
    <w:rsid w:val="0D53B495"/>
    <w:rsid w:val="0DA19119"/>
    <w:rsid w:val="0DB319A2"/>
    <w:rsid w:val="0DB4ECC9"/>
    <w:rsid w:val="0DC98D31"/>
    <w:rsid w:val="0DFA2D1B"/>
    <w:rsid w:val="0E19DCED"/>
    <w:rsid w:val="0E1D43AF"/>
    <w:rsid w:val="0E746490"/>
    <w:rsid w:val="0E7C4A5D"/>
    <w:rsid w:val="0E7F312D"/>
    <w:rsid w:val="0E812F4F"/>
    <w:rsid w:val="0EB60726"/>
    <w:rsid w:val="0ED7B00C"/>
    <w:rsid w:val="0EDF85A2"/>
    <w:rsid w:val="0F2AF8BF"/>
    <w:rsid w:val="0F46E097"/>
    <w:rsid w:val="0F4AA914"/>
    <w:rsid w:val="0F505EE2"/>
    <w:rsid w:val="0F7F83BC"/>
    <w:rsid w:val="0F808756"/>
    <w:rsid w:val="0F839001"/>
    <w:rsid w:val="0F97962E"/>
    <w:rsid w:val="0FC3DC32"/>
    <w:rsid w:val="0FD7A37E"/>
    <w:rsid w:val="0FE00E91"/>
    <w:rsid w:val="0FF81FFA"/>
    <w:rsid w:val="1008B22D"/>
    <w:rsid w:val="101BE05B"/>
    <w:rsid w:val="1021F876"/>
    <w:rsid w:val="1027DF3D"/>
    <w:rsid w:val="103C2B49"/>
    <w:rsid w:val="108A4082"/>
    <w:rsid w:val="110B7886"/>
    <w:rsid w:val="111B8E56"/>
    <w:rsid w:val="112C897B"/>
    <w:rsid w:val="11332293"/>
    <w:rsid w:val="114480E5"/>
    <w:rsid w:val="11A1F5A9"/>
    <w:rsid w:val="11C40EFB"/>
    <w:rsid w:val="11F4FF92"/>
    <w:rsid w:val="1207C876"/>
    <w:rsid w:val="12208C43"/>
    <w:rsid w:val="12609367"/>
    <w:rsid w:val="126ED922"/>
    <w:rsid w:val="1277CA62"/>
    <w:rsid w:val="1290C1A5"/>
    <w:rsid w:val="129C33C4"/>
    <w:rsid w:val="12C1BBC4"/>
    <w:rsid w:val="13071B33"/>
    <w:rsid w:val="131DA7D2"/>
    <w:rsid w:val="1320DAD0"/>
    <w:rsid w:val="13422401"/>
    <w:rsid w:val="135D69F8"/>
    <w:rsid w:val="138EF786"/>
    <w:rsid w:val="139E2631"/>
    <w:rsid w:val="13ADF09D"/>
    <w:rsid w:val="13C2642E"/>
    <w:rsid w:val="13CB7968"/>
    <w:rsid w:val="1400DC88"/>
    <w:rsid w:val="1434BF89"/>
    <w:rsid w:val="14365F48"/>
    <w:rsid w:val="143A4263"/>
    <w:rsid w:val="149001F3"/>
    <w:rsid w:val="14A05AC0"/>
    <w:rsid w:val="14B2FB95"/>
    <w:rsid w:val="14C1D656"/>
    <w:rsid w:val="15155A02"/>
    <w:rsid w:val="15369017"/>
    <w:rsid w:val="1559A6C7"/>
    <w:rsid w:val="155E9DDC"/>
    <w:rsid w:val="15669B97"/>
    <w:rsid w:val="15A9DAAE"/>
    <w:rsid w:val="15AFA53C"/>
    <w:rsid w:val="15B86980"/>
    <w:rsid w:val="15BFB198"/>
    <w:rsid w:val="15D606D9"/>
    <w:rsid w:val="15FD002C"/>
    <w:rsid w:val="16027276"/>
    <w:rsid w:val="1603B37C"/>
    <w:rsid w:val="1604574B"/>
    <w:rsid w:val="1612A570"/>
    <w:rsid w:val="16141C2A"/>
    <w:rsid w:val="16188167"/>
    <w:rsid w:val="16282E5C"/>
    <w:rsid w:val="162B5F4D"/>
    <w:rsid w:val="1640B184"/>
    <w:rsid w:val="16434D22"/>
    <w:rsid w:val="164AE0E1"/>
    <w:rsid w:val="1659D364"/>
    <w:rsid w:val="16725BBB"/>
    <w:rsid w:val="16770E95"/>
    <w:rsid w:val="169F2562"/>
    <w:rsid w:val="16FFEA4F"/>
    <w:rsid w:val="1709CC70"/>
    <w:rsid w:val="1745B3D6"/>
    <w:rsid w:val="1770C23D"/>
    <w:rsid w:val="177E41E0"/>
    <w:rsid w:val="1784B1A7"/>
    <w:rsid w:val="17B14394"/>
    <w:rsid w:val="17E38B0C"/>
    <w:rsid w:val="17EBC8A5"/>
    <w:rsid w:val="17F30828"/>
    <w:rsid w:val="17F6E7C9"/>
    <w:rsid w:val="180C2142"/>
    <w:rsid w:val="182FB44E"/>
    <w:rsid w:val="1841C11E"/>
    <w:rsid w:val="184B072C"/>
    <w:rsid w:val="185BDC3B"/>
    <w:rsid w:val="185BFF48"/>
    <w:rsid w:val="18895715"/>
    <w:rsid w:val="18C999FA"/>
    <w:rsid w:val="18E73DDA"/>
    <w:rsid w:val="18FAF2C5"/>
    <w:rsid w:val="190391E3"/>
    <w:rsid w:val="1928DF1F"/>
    <w:rsid w:val="196FCF6D"/>
    <w:rsid w:val="1970E488"/>
    <w:rsid w:val="198BC3D0"/>
    <w:rsid w:val="199CCF82"/>
    <w:rsid w:val="19CD6A50"/>
    <w:rsid w:val="19F10338"/>
    <w:rsid w:val="1A102746"/>
    <w:rsid w:val="1A35BB3B"/>
    <w:rsid w:val="1A5645D7"/>
    <w:rsid w:val="1A5C954D"/>
    <w:rsid w:val="1A5D7EA1"/>
    <w:rsid w:val="1A63BEEE"/>
    <w:rsid w:val="1ABB7164"/>
    <w:rsid w:val="1AE4724A"/>
    <w:rsid w:val="1AEECDFC"/>
    <w:rsid w:val="1AFC3982"/>
    <w:rsid w:val="1B19BD37"/>
    <w:rsid w:val="1B63151F"/>
    <w:rsid w:val="1B79B2D7"/>
    <w:rsid w:val="1B93BC88"/>
    <w:rsid w:val="1BCB24B6"/>
    <w:rsid w:val="1BD222DC"/>
    <w:rsid w:val="1BE4973D"/>
    <w:rsid w:val="1BEF570D"/>
    <w:rsid w:val="1C3C080F"/>
    <w:rsid w:val="1C7082A1"/>
    <w:rsid w:val="1C7A1FAE"/>
    <w:rsid w:val="1C9434AF"/>
    <w:rsid w:val="1C9A3C2E"/>
    <w:rsid w:val="1CA23212"/>
    <w:rsid w:val="1CACFBEF"/>
    <w:rsid w:val="1CE4BED1"/>
    <w:rsid w:val="1CFE2067"/>
    <w:rsid w:val="1D3922FA"/>
    <w:rsid w:val="1D869875"/>
    <w:rsid w:val="1DA0BE5C"/>
    <w:rsid w:val="1DB1BF50"/>
    <w:rsid w:val="1DCBA8C5"/>
    <w:rsid w:val="1DCDB3A1"/>
    <w:rsid w:val="1DDBA2F2"/>
    <w:rsid w:val="1E1549BB"/>
    <w:rsid w:val="1E25BB6A"/>
    <w:rsid w:val="1E291F37"/>
    <w:rsid w:val="1E50F7FC"/>
    <w:rsid w:val="1E6B3734"/>
    <w:rsid w:val="1E898283"/>
    <w:rsid w:val="1E98856F"/>
    <w:rsid w:val="1EA60663"/>
    <w:rsid w:val="1EDB5F6F"/>
    <w:rsid w:val="1EE7C0D3"/>
    <w:rsid w:val="1F25DC1C"/>
    <w:rsid w:val="1F2B2AAE"/>
    <w:rsid w:val="1F4EE1A4"/>
    <w:rsid w:val="1F7095FF"/>
    <w:rsid w:val="1F715C91"/>
    <w:rsid w:val="1F99EB89"/>
    <w:rsid w:val="1FBBE48E"/>
    <w:rsid w:val="1FFF78FA"/>
    <w:rsid w:val="2029CCAC"/>
    <w:rsid w:val="2048D10A"/>
    <w:rsid w:val="20AA6BC2"/>
    <w:rsid w:val="20CE286F"/>
    <w:rsid w:val="20D80119"/>
    <w:rsid w:val="20F405B4"/>
    <w:rsid w:val="20FF7B49"/>
    <w:rsid w:val="212A6CFC"/>
    <w:rsid w:val="213CB3A5"/>
    <w:rsid w:val="213CC061"/>
    <w:rsid w:val="215B054B"/>
    <w:rsid w:val="217231E2"/>
    <w:rsid w:val="21C17DC8"/>
    <w:rsid w:val="21C494B5"/>
    <w:rsid w:val="21D71B32"/>
    <w:rsid w:val="21D837B1"/>
    <w:rsid w:val="21E6E647"/>
    <w:rsid w:val="220050EE"/>
    <w:rsid w:val="2248628E"/>
    <w:rsid w:val="2252E87C"/>
    <w:rsid w:val="22817510"/>
    <w:rsid w:val="2286A5AB"/>
    <w:rsid w:val="22D13569"/>
    <w:rsid w:val="22E1F599"/>
    <w:rsid w:val="2303DB73"/>
    <w:rsid w:val="234D2130"/>
    <w:rsid w:val="2363230D"/>
    <w:rsid w:val="2370E967"/>
    <w:rsid w:val="2383D673"/>
    <w:rsid w:val="23B0D610"/>
    <w:rsid w:val="23BAF4F1"/>
    <w:rsid w:val="23D28655"/>
    <w:rsid w:val="23D2DB00"/>
    <w:rsid w:val="2401D7CD"/>
    <w:rsid w:val="24477CFB"/>
    <w:rsid w:val="24520031"/>
    <w:rsid w:val="2495C0E5"/>
    <w:rsid w:val="24BF0C49"/>
    <w:rsid w:val="24E7CC71"/>
    <w:rsid w:val="250927DC"/>
    <w:rsid w:val="250B4DC5"/>
    <w:rsid w:val="251D5A76"/>
    <w:rsid w:val="254E89D0"/>
    <w:rsid w:val="25531AE5"/>
    <w:rsid w:val="257C51DE"/>
    <w:rsid w:val="2596525A"/>
    <w:rsid w:val="25A2FE8F"/>
    <w:rsid w:val="25DBA2F8"/>
    <w:rsid w:val="25EBAA5F"/>
    <w:rsid w:val="260249B8"/>
    <w:rsid w:val="261A8631"/>
    <w:rsid w:val="26273A34"/>
    <w:rsid w:val="262DF808"/>
    <w:rsid w:val="26437B94"/>
    <w:rsid w:val="26519C8C"/>
    <w:rsid w:val="265C8924"/>
    <w:rsid w:val="266C911B"/>
    <w:rsid w:val="26791CD4"/>
    <w:rsid w:val="268226C8"/>
    <w:rsid w:val="26841D49"/>
    <w:rsid w:val="2689DE07"/>
    <w:rsid w:val="268DC9EB"/>
    <w:rsid w:val="2698B028"/>
    <w:rsid w:val="26A76C01"/>
    <w:rsid w:val="26EB0113"/>
    <w:rsid w:val="270145F4"/>
    <w:rsid w:val="27516CB2"/>
    <w:rsid w:val="27578DCC"/>
    <w:rsid w:val="2768DD1F"/>
    <w:rsid w:val="277CAE87"/>
    <w:rsid w:val="279AC673"/>
    <w:rsid w:val="279D61DA"/>
    <w:rsid w:val="27CA01A3"/>
    <w:rsid w:val="27E32A9A"/>
    <w:rsid w:val="27E85563"/>
    <w:rsid w:val="2809938B"/>
    <w:rsid w:val="282BE87E"/>
    <w:rsid w:val="28387F46"/>
    <w:rsid w:val="283D7C3B"/>
    <w:rsid w:val="284834F1"/>
    <w:rsid w:val="285EC8F0"/>
    <w:rsid w:val="2874C94F"/>
    <w:rsid w:val="2883AD6E"/>
    <w:rsid w:val="28965A7B"/>
    <w:rsid w:val="2899314E"/>
    <w:rsid w:val="28A0C805"/>
    <w:rsid w:val="28C1333B"/>
    <w:rsid w:val="28E68652"/>
    <w:rsid w:val="28E886C1"/>
    <w:rsid w:val="28F20111"/>
    <w:rsid w:val="29207225"/>
    <w:rsid w:val="2920CEC1"/>
    <w:rsid w:val="2932C9E0"/>
    <w:rsid w:val="2980A3F7"/>
    <w:rsid w:val="29A49A30"/>
    <w:rsid w:val="29B8A4B2"/>
    <w:rsid w:val="29BCDA69"/>
    <w:rsid w:val="29BE9C1A"/>
    <w:rsid w:val="29D8D4E1"/>
    <w:rsid w:val="29DB6AE5"/>
    <w:rsid w:val="29DBDCA9"/>
    <w:rsid w:val="29EDE528"/>
    <w:rsid w:val="2A323176"/>
    <w:rsid w:val="2A6B8E50"/>
    <w:rsid w:val="2A6C91AB"/>
    <w:rsid w:val="2A8998F8"/>
    <w:rsid w:val="2A97FEB6"/>
    <w:rsid w:val="2AD27673"/>
    <w:rsid w:val="2B556B7A"/>
    <w:rsid w:val="2B57F777"/>
    <w:rsid w:val="2B7A36D7"/>
    <w:rsid w:val="2B95B232"/>
    <w:rsid w:val="2B95F94F"/>
    <w:rsid w:val="2BAF660A"/>
    <w:rsid w:val="2BB4E24C"/>
    <w:rsid w:val="2BE1E8B4"/>
    <w:rsid w:val="2BE725CB"/>
    <w:rsid w:val="2BEFF375"/>
    <w:rsid w:val="2C08EF43"/>
    <w:rsid w:val="2C1B204A"/>
    <w:rsid w:val="2C20E5B0"/>
    <w:rsid w:val="2C44FFF6"/>
    <w:rsid w:val="2C4D335A"/>
    <w:rsid w:val="2C5FAA3C"/>
    <w:rsid w:val="2C8594E9"/>
    <w:rsid w:val="2C8625D7"/>
    <w:rsid w:val="2CC71942"/>
    <w:rsid w:val="2CFF424F"/>
    <w:rsid w:val="2D0D5706"/>
    <w:rsid w:val="2D35E009"/>
    <w:rsid w:val="2D6B2AA8"/>
    <w:rsid w:val="2D6B3CE9"/>
    <w:rsid w:val="2E2461C8"/>
    <w:rsid w:val="2E5B56D0"/>
    <w:rsid w:val="2E5E4EFC"/>
    <w:rsid w:val="2E832DA3"/>
    <w:rsid w:val="2E87DD88"/>
    <w:rsid w:val="2E99531A"/>
    <w:rsid w:val="2EAF254D"/>
    <w:rsid w:val="2EC18E3C"/>
    <w:rsid w:val="2EE9BEAA"/>
    <w:rsid w:val="2F1D87CA"/>
    <w:rsid w:val="2F2DE8E2"/>
    <w:rsid w:val="2F606DE5"/>
    <w:rsid w:val="2F8E552E"/>
    <w:rsid w:val="2FAA15F2"/>
    <w:rsid w:val="2FBBF8FC"/>
    <w:rsid w:val="2FC09E36"/>
    <w:rsid w:val="2FE02E64"/>
    <w:rsid w:val="2FEEC5B3"/>
    <w:rsid w:val="2FFB8058"/>
    <w:rsid w:val="3004D391"/>
    <w:rsid w:val="300D7FC5"/>
    <w:rsid w:val="303A1005"/>
    <w:rsid w:val="3085E99D"/>
    <w:rsid w:val="308AC012"/>
    <w:rsid w:val="30B840D0"/>
    <w:rsid w:val="30E8C8AD"/>
    <w:rsid w:val="3151D1C3"/>
    <w:rsid w:val="3153374E"/>
    <w:rsid w:val="316654D4"/>
    <w:rsid w:val="319D8EB6"/>
    <w:rsid w:val="31A4BA7A"/>
    <w:rsid w:val="31B69896"/>
    <w:rsid w:val="31C5EF57"/>
    <w:rsid w:val="31DBCCD9"/>
    <w:rsid w:val="31EE5973"/>
    <w:rsid w:val="31FFB5A5"/>
    <w:rsid w:val="320F5B93"/>
    <w:rsid w:val="3263A027"/>
    <w:rsid w:val="3288219B"/>
    <w:rsid w:val="32A7DB8A"/>
    <w:rsid w:val="32AAA6F0"/>
    <w:rsid w:val="32C8EBB7"/>
    <w:rsid w:val="32F30117"/>
    <w:rsid w:val="33117012"/>
    <w:rsid w:val="3367EC0D"/>
    <w:rsid w:val="33741C8E"/>
    <w:rsid w:val="338590D8"/>
    <w:rsid w:val="3387A364"/>
    <w:rsid w:val="339482E8"/>
    <w:rsid w:val="33A4F5C6"/>
    <w:rsid w:val="33B01BFF"/>
    <w:rsid w:val="33BBA60B"/>
    <w:rsid w:val="3414E656"/>
    <w:rsid w:val="34388E59"/>
    <w:rsid w:val="344B0F1C"/>
    <w:rsid w:val="346D2FD1"/>
    <w:rsid w:val="347AA334"/>
    <w:rsid w:val="348D3682"/>
    <w:rsid w:val="34A7A8F0"/>
    <w:rsid w:val="34CEF95A"/>
    <w:rsid w:val="34E39F2D"/>
    <w:rsid w:val="34ECBC4C"/>
    <w:rsid w:val="35388E7A"/>
    <w:rsid w:val="3541FE28"/>
    <w:rsid w:val="354A03BA"/>
    <w:rsid w:val="354F394C"/>
    <w:rsid w:val="35606334"/>
    <w:rsid w:val="35629FAB"/>
    <w:rsid w:val="35732494"/>
    <w:rsid w:val="35745A9E"/>
    <w:rsid w:val="3587E535"/>
    <w:rsid w:val="358CB242"/>
    <w:rsid w:val="35957F9F"/>
    <w:rsid w:val="35ED8FCF"/>
    <w:rsid w:val="3609C282"/>
    <w:rsid w:val="360CE0EE"/>
    <w:rsid w:val="36395A85"/>
    <w:rsid w:val="36404B07"/>
    <w:rsid w:val="36492B1B"/>
    <w:rsid w:val="366AE110"/>
    <w:rsid w:val="367DB4A2"/>
    <w:rsid w:val="36818425"/>
    <w:rsid w:val="368EA802"/>
    <w:rsid w:val="36940972"/>
    <w:rsid w:val="369A90C2"/>
    <w:rsid w:val="36A93FCC"/>
    <w:rsid w:val="36E4694B"/>
    <w:rsid w:val="36FC74F9"/>
    <w:rsid w:val="3705DD79"/>
    <w:rsid w:val="37284065"/>
    <w:rsid w:val="37698145"/>
    <w:rsid w:val="37ABB38E"/>
    <w:rsid w:val="37DAC469"/>
    <w:rsid w:val="37FDFEFF"/>
    <w:rsid w:val="3809F42B"/>
    <w:rsid w:val="3859615E"/>
    <w:rsid w:val="389F38E3"/>
    <w:rsid w:val="38A0BF8B"/>
    <w:rsid w:val="38AB1E8B"/>
    <w:rsid w:val="38BF0AD4"/>
    <w:rsid w:val="38FF294F"/>
    <w:rsid w:val="38FF5121"/>
    <w:rsid w:val="3934F183"/>
    <w:rsid w:val="396823EB"/>
    <w:rsid w:val="3981D3B1"/>
    <w:rsid w:val="39969D62"/>
    <w:rsid w:val="399DADC5"/>
    <w:rsid w:val="39C8319F"/>
    <w:rsid w:val="39E7C733"/>
    <w:rsid w:val="3A0D14A0"/>
    <w:rsid w:val="3A158B70"/>
    <w:rsid w:val="3A26757F"/>
    <w:rsid w:val="3A310A3A"/>
    <w:rsid w:val="3A58DC9B"/>
    <w:rsid w:val="3A5A4154"/>
    <w:rsid w:val="3A60BF20"/>
    <w:rsid w:val="3A63BE43"/>
    <w:rsid w:val="3A67F13F"/>
    <w:rsid w:val="3AD3DC71"/>
    <w:rsid w:val="3B21866B"/>
    <w:rsid w:val="3B5384F2"/>
    <w:rsid w:val="3B595123"/>
    <w:rsid w:val="3B718583"/>
    <w:rsid w:val="3BAEC5A4"/>
    <w:rsid w:val="3BB12425"/>
    <w:rsid w:val="3BF478E1"/>
    <w:rsid w:val="3C17564A"/>
    <w:rsid w:val="3C38884A"/>
    <w:rsid w:val="3C512E9B"/>
    <w:rsid w:val="3C700E03"/>
    <w:rsid w:val="3C819DBA"/>
    <w:rsid w:val="3CCE0ADB"/>
    <w:rsid w:val="3CD7F56A"/>
    <w:rsid w:val="3CFF7A0E"/>
    <w:rsid w:val="3D420825"/>
    <w:rsid w:val="3D57E28A"/>
    <w:rsid w:val="3D668B40"/>
    <w:rsid w:val="3D69046A"/>
    <w:rsid w:val="3D80E40D"/>
    <w:rsid w:val="3D8BA201"/>
    <w:rsid w:val="3DA48B48"/>
    <w:rsid w:val="3DC34814"/>
    <w:rsid w:val="3DC8805F"/>
    <w:rsid w:val="3DE8E1F8"/>
    <w:rsid w:val="3E186555"/>
    <w:rsid w:val="3E347BAD"/>
    <w:rsid w:val="3E3B805A"/>
    <w:rsid w:val="3E49814E"/>
    <w:rsid w:val="3E89ECCC"/>
    <w:rsid w:val="3E97ED29"/>
    <w:rsid w:val="3E9B0D60"/>
    <w:rsid w:val="3E9D2942"/>
    <w:rsid w:val="3EC36C13"/>
    <w:rsid w:val="3EE0A2E6"/>
    <w:rsid w:val="3EE113CD"/>
    <w:rsid w:val="3F0552B7"/>
    <w:rsid w:val="3F099340"/>
    <w:rsid w:val="3F15B7CD"/>
    <w:rsid w:val="3F3DA340"/>
    <w:rsid w:val="3F5F02A1"/>
    <w:rsid w:val="3F7B5112"/>
    <w:rsid w:val="3F9BB9D7"/>
    <w:rsid w:val="3FF1D88D"/>
    <w:rsid w:val="3FF72A57"/>
    <w:rsid w:val="3FFA4724"/>
    <w:rsid w:val="4049E848"/>
    <w:rsid w:val="40695C1D"/>
    <w:rsid w:val="4078D302"/>
    <w:rsid w:val="40955D1A"/>
    <w:rsid w:val="40B2DC34"/>
    <w:rsid w:val="410E6B2D"/>
    <w:rsid w:val="4116352C"/>
    <w:rsid w:val="41198D9A"/>
    <w:rsid w:val="4123DC1D"/>
    <w:rsid w:val="412CED32"/>
    <w:rsid w:val="4141C79B"/>
    <w:rsid w:val="4154753C"/>
    <w:rsid w:val="41774355"/>
    <w:rsid w:val="417953F8"/>
    <w:rsid w:val="41A50E41"/>
    <w:rsid w:val="41A8F797"/>
    <w:rsid w:val="41B1386D"/>
    <w:rsid w:val="41F0C540"/>
    <w:rsid w:val="4227A69D"/>
    <w:rsid w:val="4249F38E"/>
    <w:rsid w:val="42763914"/>
    <w:rsid w:val="427DA871"/>
    <w:rsid w:val="429D8285"/>
    <w:rsid w:val="42C362B0"/>
    <w:rsid w:val="42DBFFCE"/>
    <w:rsid w:val="4304BA0A"/>
    <w:rsid w:val="4343BFFD"/>
    <w:rsid w:val="435C6AFC"/>
    <w:rsid w:val="43CE55C7"/>
    <w:rsid w:val="43DE3120"/>
    <w:rsid w:val="43E76DA8"/>
    <w:rsid w:val="440A780C"/>
    <w:rsid w:val="44939598"/>
    <w:rsid w:val="44DC69D4"/>
    <w:rsid w:val="44F11C74"/>
    <w:rsid w:val="450C72BE"/>
    <w:rsid w:val="4516390E"/>
    <w:rsid w:val="4517CDC2"/>
    <w:rsid w:val="452462BE"/>
    <w:rsid w:val="455259EB"/>
    <w:rsid w:val="456326C6"/>
    <w:rsid w:val="4572BF25"/>
    <w:rsid w:val="45836388"/>
    <w:rsid w:val="458852C9"/>
    <w:rsid w:val="459FCCDE"/>
    <w:rsid w:val="4602481B"/>
    <w:rsid w:val="46028F49"/>
    <w:rsid w:val="463B8E1F"/>
    <w:rsid w:val="4693A537"/>
    <w:rsid w:val="46A97D0C"/>
    <w:rsid w:val="46EDFD00"/>
    <w:rsid w:val="4726C6A7"/>
    <w:rsid w:val="4748CFF5"/>
    <w:rsid w:val="4756D640"/>
    <w:rsid w:val="47571072"/>
    <w:rsid w:val="4761AB8E"/>
    <w:rsid w:val="47736F05"/>
    <w:rsid w:val="47785A84"/>
    <w:rsid w:val="479CE449"/>
    <w:rsid w:val="47CEF438"/>
    <w:rsid w:val="47D7E253"/>
    <w:rsid w:val="47E6B9D8"/>
    <w:rsid w:val="47FCE385"/>
    <w:rsid w:val="481BCEBE"/>
    <w:rsid w:val="481F2D2C"/>
    <w:rsid w:val="4822E17B"/>
    <w:rsid w:val="482D73A2"/>
    <w:rsid w:val="4835C62A"/>
    <w:rsid w:val="48393034"/>
    <w:rsid w:val="48547D06"/>
    <w:rsid w:val="48553EAF"/>
    <w:rsid w:val="4870FF84"/>
    <w:rsid w:val="48792E4E"/>
    <w:rsid w:val="488D9701"/>
    <w:rsid w:val="4891766C"/>
    <w:rsid w:val="48C6C7C4"/>
    <w:rsid w:val="48D26C83"/>
    <w:rsid w:val="4907884A"/>
    <w:rsid w:val="49078D60"/>
    <w:rsid w:val="492B7EDB"/>
    <w:rsid w:val="4946D639"/>
    <w:rsid w:val="49A0D205"/>
    <w:rsid w:val="49B09740"/>
    <w:rsid w:val="49BE77B4"/>
    <w:rsid w:val="49D0EF43"/>
    <w:rsid w:val="49F7F8F6"/>
    <w:rsid w:val="49F9E2A9"/>
    <w:rsid w:val="4A34048C"/>
    <w:rsid w:val="4A3B5D66"/>
    <w:rsid w:val="4A3ED68E"/>
    <w:rsid w:val="4A472BB5"/>
    <w:rsid w:val="4A556A60"/>
    <w:rsid w:val="4A64A500"/>
    <w:rsid w:val="4A97E133"/>
    <w:rsid w:val="4ABD7A03"/>
    <w:rsid w:val="4B0CA63E"/>
    <w:rsid w:val="4B29D5A5"/>
    <w:rsid w:val="4B4AF7E1"/>
    <w:rsid w:val="4B7104AC"/>
    <w:rsid w:val="4B899CE5"/>
    <w:rsid w:val="4B8DA322"/>
    <w:rsid w:val="4B9FF040"/>
    <w:rsid w:val="4BED6E59"/>
    <w:rsid w:val="4C0A6323"/>
    <w:rsid w:val="4C13779B"/>
    <w:rsid w:val="4C2DCEE9"/>
    <w:rsid w:val="4C34B4E6"/>
    <w:rsid w:val="4CE1DE16"/>
    <w:rsid w:val="4D1370C0"/>
    <w:rsid w:val="4D29A7A3"/>
    <w:rsid w:val="4D40FF4C"/>
    <w:rsid w:val="4D605F2D"/>
    <w:rsid w:val="4DA0B71E"/>
    <w:rsid w:val="4DA3C215"/>
    <w:rsid w:val="4DAEE6B7"/>
    <w:rsid w:val="4DBA3F38"/>
    <w:rsid w:val="4DDB4D6E"/>
    <w:rsid w:val="4DFD2FBE"/>
    <w:rsid w:val="4E07054B"/>
    <w:rsid w:val="4E309E8D"/>
    <w:rsid w:val="4E3223CA"/>
    <w:rsid w:val="4E346AB3"/>
    <w:rsid w:val="4E59EEE4"/>
    <w:rsid w:val="4E609F1E"/>
    <w:rsid w:val="4E6FFBAE"/>
    <w:rsid w:val="4E71F2BF"/>
    <w:rsid w:val="4E7B1154"/>
    <w:rsid w:val="4E7DBC4F"/>
    <w:rsid w:val="4E7E13CA"/>
    <w:rsid w:val="4EA72F6E"/>
    <w:rsid w:val="4EB2144C"/>
    <w:rsid w:val="4F0C02BE"/>
    <w:rsid w:val="4F0FE456"/>
    <w:rsid w:val="4F3C604F"/>
    <w:rsid w:val="4F4B5B6D"/>
    <w:rsid w:val="4F72DB9B"/>
    <w:rsid w:val="4F77255D"/>
    <w:rsid w:val="4FA754C9"/>
    <w:rsid w:val="500EEAA9"/>
    <w:rsid w:val="5021BDE0"/>
    <w:rsid w:val="50549544"/>
    <w:rsid w:val="50559460"/>
    <w:rsid w:val="506C111D"/>
    <w:rsid w:val="507AD0DB"/>
    <w:rsid w:val="507FEA88"/>
    <w:rsid w:val="50E49842"/>
    <w:rsid w:val="50FB157D"/>
    <w:rsid w:val="50FD97D1"/>
    <w:rsid w:val="51173F45"/>
    <w:rsid w:val="5120CD4E"/>
    <w:rsid w:val="514346EE"/>
    <w:rsid w:val="517521EB"/>
    <w:rsid w:val="517918F3"/>
    <w:rsid w:val="517A72A2"/>
    <w:rsid w:val="519AC87D"/>
    <w:rsid w:val="51DE4DB9"/>
    <w:rsid w:val="5202940B"/>
    <w:rsid w:val="52062B76"/>
    <w:rsid w:val="521219DA"/>
    <w:rsid w:val="5215D83B"/>
    <w:rsid w:val="5222D2B8"/>
    <w:rsid w:val="52669C59"/>
    <w:rsid w:val="52938126"/>
    <w:rsid w:val="52A92184"/>
    <w:rsid w:val="52D1ADB9"/>
    <w:rsid w:val="52DEDE05"/>
    <w:rsid w:val="52FEC396"/>
    <w:rsid w:val="535761B5"/>
    <w:rsid w:val="535BCCEF"/>
    <w:rsid w:val="537C56A2"/>
    <w:rsid w:val="5387D0AC"/>
    <w:rsid w:val="53D49E8E"/>
    <w:rsid w:val="53DC1CCA"/>
    <w:rsid w:val="53E2A4D3"/>
    <w:rsid w:val="5402C86B"/>
    <w:rsid w:val="540A4B67"/>
    <w:rsid w:val="542EDC35"/>
    <w:rsid w:val="543D0163"/>
    <w:rsid w:val="54664301"/>
    <w:rsid w:val="546F1732"/>
    <w:rsid w:val="546F9707"/>
    <w:rsid w:val="547E2834"/>
    <w:rsid w:val="54A404B6"/>
    <w:rsid w:val="54E0BC68"/>
    <w:rsid w:val="54F1F660"/>
    <w:rsid w:val="54F7C908"/>
    <w:rsid w:val="5510188C"/>
    <w:rsid w:val="552FDD08"/>
    <w:rsid w:val="554BF700"/>
    <w:rsid w:val="557BA8A2"/>
    <w:rsid w:val="559EC1DA"/>
    <w:rsid w:val="55A7AA6E"/>
    <w:rsid w:val="55BE51B6"/>
    <w:rsid w:val="55BFD9B4"/>
    <w:rsid w:val="55D120EB"/>
    <w:rsid w:val="55F00120"/>
    <w:rsid w:val="5609A047"/>
    <w:rsid w:val="564838EA"/>
    <w:rsid w:val="565BFF81"/>
    <w:rsid w:val="56726915"/>
    <w:rsid w:val="568F618C"/>
    <w:rsid w:val="56C23480"/>
    <w:rsid w:val="57325B11"/>
    <w:rsid w:val="573A5F94"/>
    <w:rsid w:val="573C0CAC"/>
    <w:rsid w:val="5743B44C"/>
    <w:rsid w:val="5745968D"/>
    <w:rsid w:val="574A596B"/>
    <w:rsid w:val="5756034B"/>
    <w:rsid w:val="57637E57"/>
    <w:rsid w:val="576C7BBF"/>
    <w:rsid w:val="5782E9FB"/>
    <w:rsid w:val="57978EFD"/>
    <w:rsid w:val="57C41EC9"/>
    <w:rsid w:val="57DD7A92"/>
    <w:rsid w:val="57DF7B14"/>
    <w:rsid w:val="5814437E"/>
    <w:rsid w:val="5868C2D1"/>
    <w:rsid w:val="5869A3D5"/>
    <w:rsid w:val="589A53B8"/>
    <w:rsid w:val="58A06C27"/>
    <w:rsid w:val="58C248B3"/>
    <w:rsid w:val="58CA1121"/>
    <w:rsid w:val="58E1F1A1"/>
    <w:rsid w:val="58F22B8D"/>
    <w:rsid w:val="58F5E6FA"/>
    <w:rsid w:val="5913134C"/>
    <w:rsid w:val="592A818D"/>
    <w:rsid w:val="593892AA"/>
    <w:rsid w:val="593F408C"/>
    <w:rsid w:val="595B2378"/>
    <w:rsid w:val="5964B1B8"/>
    <w:rsid w:val="59711E92"/>
    <w:rsid w:val="59936DA7"/>
    <w:rsid w:val="5994A4D4"/>
    <w:rsid w:val="59C7584F"/>
    <w:rsid w:val="59CA7BA9"/>
    <w:rsid w:val="59CB5F6B"/>
    <w:rsid w:val="59D3CB21"/>
    <w:rsid w:val="59F81B6A"/>
    <w:rsid w:val="5A015CD8"/>
    <w:rsid w:val="5A5BE3E1"/>
    <w:rsid w:val="5A6DE55F"/>
    <w:rsid w:val="5A819588"/>
    <w:rsid w:val="5AA11092"/>
    <w:rsid w:val="5AB1EA91"/>
    <w:rsid w:val="5AB3913E"/>
    <w:rsid w:val="5AB5F266"/>
    <w:rsid w:val="5AFAB4EC"/>
    <w:rsid w:val="5B2CC12F"/>
    <w:rsid w:val="5B324493"/>
    <w:rsid w:val="5B375F39"/>
    <w:rsid w:val="5B508BE4"/>
    <w:rsid w:val="5B6573B9"/>
    <w:rsid w:val="5B675F3E"/>
    <w:rsid w:val="5B6CF7EB"/>
    <w:rsid w:val="5B720385"/>
    <w:rsid w:val="5B7F03B2"/>
    <w:rsid w:val="5BC9CD95"/>
    <w:rsid w:val="5C14F13E"/>
    <w:rsid w:val="5C3B389F"/>
    <w:rsid w:val="5C588B61"/>
    <w:rsid w:val="5C5D6718"/>
    <w:rsid w:val="5C7E2138"/>
    <w:rsid w:val="5C894795"/>
    <w:rsid w:val="5CAFFF37"/>
    <w:rsid w:val="5CB208BA"/>
    <w:rsid w:val="5CD6800D"/>
    <w:rsid w:val="5CF462BC"/>
    <w:rsid w:val="5CF59990"/>
    <w:rsid w:val="5D0255F1"/>
    <w:rsid w:val="5D1A1045"/>
    <w:rsid w:val="5D2B83EB"/>
    <w:rsid w:val="5D2C72F1"/>
    <w:rsid w:val="5D3193DD"/>
    <w:rsid w:val="5D434D34"/>
    <w:rsid w:val="5D613957"/>
    <w:rsid w:val="5D922DE7"/>
    <w:rsid w:val="5D927331"/>
    <w:rsid w:val="5DBB91E1"/>
    <w:rsid w:val="5DC9D092"/>
    <w:rsid w:val="5DCDB89C"/>
    <w:rsid w:val="5DD82D13"/>
    <w:rsid w:val="5DF9F036"/>
    <w:rsid w:val="5E1CC504"/>
    <w:rsid w:val="5E39F99D"/>
    <w:rsid w:val="5E49DE78"/>
    <w:rsid w:val="5E7DCA03"/>
    <w:rsid w:val="5E88FB84"/>
    <w:rsid w:val="5EDF9163"/>
    <w:rsid w:val="5F32D619"/>
    <w:rsid w:val="5F7D37EB"/>
    <w:rsid w:val="5F8BA531"/>
    <w:rsid w:val="5FA4A410"/>
    <w:rsid w:val="5FA922FD"/>
    <w:rsid w:val="5FB41E70"/>
    <w:rsid w:val="5FC82404"/>
    <w:rsid w:val="5FCC5132"/>
    <w:rsid w:val="5FCF8AAB"/>
    <w:rsid w:val="5FD76221"/>
    <w:rsid w:val="5FE0EB0C"/>
    <w:rsid w:val="5FE344C6"/>
    <w:rsid w:val="5FE85F79"/>
    <w:rsid w:val="5FE8D4E6"/>
    <w:rsid w:val="5FE95618"/>
    <w:rsid w:val="5FF84571"/>
    <w:rsid w:val="5FF8F468"/>
    <w:rsid w:val="60048D38"/>
    <w:rsid w:val="601321C2"/>
    <w:rsid w:val="603187E3"/>
    <w:rsid w:val="60378CDE"/>
    <w:rsid w:val="60523A04"/>
    <w:rsid w:val="6052BA20"/>
    <w:rsid w:val="60944ACA"/>
    <w:rsid w:val="6094E7DF"/>
    <w:rsid w:val="60A6BF0B"/>
    <w:rsid w:val="60A72153"/>
    <w:rsid w:val="60BF71DE"/>
    <w:rsid w:val="60EEE2AB"/>
    <w:rsid w:val="613CC352"/>
    <w:rsid w:val="61425D4D"/>
    <w:rsid w:val="615809AC"/>
    <w:rsid w:val="615C75EB"/>
    <w:rsid w:val="618EADF2"/>
    <w:rsid w:val="6198B2DA"/>
    <w:rsid w:val="624A38EF"/>
    <w:rsid w:val="62A4F64C"/>
    <w:rsid w:val="62B1F94B"/>
    <w:rsid w:val="62C671A2"/>
    <w:rsid w:val="62E872B1"/>
    <w:rsid w:val="62EE1288"/>
    <w:rsid w:val="62F3DE05"/>
    <w:rsid w:val="630B04EA"/>
    <w:rsid w:val="631589A8"/>
    <w:rsid w:val="63299D68"/>
    <w:rsid w:val="632ACAB3"/>
    <w:rsid w:val="63420BAD"/>
    <w:rsid w:val="63A44FC2"/>
    <w:rsid w:val="63A5855F"/>
    <w:rsid w:val="63B602FB"/>
    <w:rsid w:val="63E96FB4"/>
    <w:rsid w:val="63EF410A"/>
    <w:rsid w:val="641DEB9C"/>
    <w:rsid w:val="64500D30"/>
    <w:rsid w:val="645D14B5"/>
    <w:rsid w:val="645F8AD3"/>
    <w:rsid w:val="648D4604"/>
    <w:rsid w:val="649DFDD1"/>
    <w:rsid w:val="64A7B067"/>
    <w:rsid w:val="64AB9601"/>
    <w:rsid w:val="6511DB54"/>
    <w:rsid w:val="651A3DBE"/>
    <w:rsid w:val="651DAEED"/>
    <w:rsid w:val="6520ADD7"/>
    <w:rsid w:val="6531A032"/>
    <w:rsid w:val="653F2D82"/>
    <w:rsid w:val="6549CE6D"/>
    <w:rsid w:val="656C8F06"/>
    <w:rsid w:val="659A33D8"/>
    <w:rsid w:val="659B30A3"/>
    <w:rsid w:val="659D7283"/>
    <w:rsid w:val="65D5BD99"/>
    <w:rsid w:val="65D8FBEC"/>
    <w:rsid w:val="65DFD294"/>
    <w:rsid w:val="65EA7016"/>
    <w:rsid w:val="66082B30"/>
    <w:rsid w:val="667C876D"/>
    <w:rsid w:val="6720A21D"/>
    <w:rsid w:val="672D069E"/>
    <w:rsid w:val="672D4921"/>
    <w:rsid w:val="674CAD2F"/>
    <w:rsid w:val="678E40F9"/>
    <w:rsid w:val="6791D37D"/>
    <w:rsid w:val="67A7A493"/>
    <w:rsid w:val="67C0B379"/>
    <w:rsid w:val="68100A52"/>
    <w:rsid w:val="6834D903"/>
    <w:rsid w:val="6886AD33"/>
    <w:rsid w:val="68BAA487"/>
    <w:rsid w:val="68DA4830"/>
    <w:rsid w:val="68EBCC45"/>
    <w:rsid w:val="68FC36CF"/>
    <w:rsid w:val="6978D133"/>
    <w:rsid w:val="699FA643"/>
    <w:rsid w:val="69CB8596"/>
    <w:rsid w:val="69D43066"/>
    <w:rsid w:val="6A346576"/>
    <w:rsid w:val="6A38878E"/>
    <w:rsid w:val="6A5973CD"/>
    <w:rsid w:val="6A6D1D81"/>
    <w:rsid w:val="6A76DBA7"/>
    <w:rsid w:val="6A8003DF"/>
    <w:rsid w:val="6A857E4A"/>
    <w:rsid w:val="6AB3678E"/>
    <w:rsid w:val="6ABB2228"/>
    <w:rsid w:val="6ABD21AA"/>
    <w:rsid w:val="6B2BA5BB"/>
    <w:rsid w:val="6B2E3923"/>
    <w:rsid w:val="6B4298D4"/>
    <w:rsid w:val="6B69901E"/>
    <w:rsid w:val="6B6A200D"/>
    <w:rsid w:val="6B6E476D"/>
    <w:rsid w:val="6B96DB08"/>
    <w:rsid w:val="6BFD852D"/>
    <w:rsid w:val="6C1459E8"/>
    <w:rsid w:val="6C21767D"/>
    <w:rsid w:val="6C3BEA0D"/>
    <w:rsid w:val="6C3ECFDE"/>
    <w:rsid w:val="6C445E0C"/>
    <w:rsid w:val="6C7AA38E"/>
    <w:rsid w:val="6C87F990"/>
    <w:rsid w:val="6D2D5D67"/>
    <w:rsid w:val="6D2FC437"/>
    <w:rsid w:val="6D499776"/>
    <w:rsid w:val="6D946B12"/>
    <w:rsid w:val="6D982F72"/>
    <w:rsid w:val="6D9A2265"/>
    <w:rsid w:val="6DD3F91C"/>
    <w:rsid w:val="6E04D19E"/>
    <w:rsid w:val="6E1ACBCF"/>
    <w:rsid w:val="6E228E32"/>
    <w:rsid w:val="6E42376D"/>
    <w:rsid w:val="6E541EFE"/>
    <w:rsid w:val="6E9F3D74"/>
    <w:rsid w:val="6EA9EF39"/>
    <w:rsid w:val="6EC0C780"/>
    <w:rsid w:val="6EC1027C"/>
    <w:rsid w:val="6F17E64D"/>
    <w:rsid w:val="6F3725F4"/>
    <w:rsid w:val="6F3C69AC"/>
    <w:rsid w:val="6F80BFB2"/>
    <w:rsid w:val="6FD30141"/>
    <w:rsid w:val="6FD3886E"/>
    <w:rsid w:val="7004B2AF"/>
    <w:rsid w:val="700CD554"/>
    <w:rsid w:val="702FBCCA"/>
    <w:rsid w:val="70395354"/>
    <w:rsid w:val="7050AA6F"/>
    <w:rsid w:val="708C9225"/>
    <w:rsid w:val="70B9AD67"/>
    <w:rsid w:val="70CAF36E"/>
    <w:rsid w:val="70D0D2DE"/>
    <w:rsid w:val="70F4946E"/>
    <w:rsid w:val="71309B92"/>
    <w:rsid w:val="717521A8"/>
    <w:rsid w:val="71A2C320"/>
    <w:rsid w:val="71A57F3A"/>
    <w:rsid w:val="71E17DDD"/>
    <w:rsid w:val="71EE570D"/>
    <w:rsid w:val="720D56BB"/>
    <w:rsid w:val="720DD5E2"/>
    <w:rsid w:val="7210F7E2"/>
    <w:rsid w:val="721CA4EB"/>
    <w:rsid w:val="72341D8A"/>
    <w:rsid w:val="723AB946"/>
    <w:rsid w:val="723D3D45"/>
    <w:rsid w:val="723FC22D"/>
    <w:rsid w:val="7249DBC6"/>
    <w:rsid w:val="72545C36"/>
    <w:rsid w:val="725D3C42"/>
    <w:rsid w:val="726D64AF"/>
    <w:rsid w:val="728B90F8"/>
    <w:rsid w:val="72A75E5D"/>
    <w:rsid w:val="72AB06FD"/>
    <w:rsid w:val="72ACF349"/>
    <w:rsid w:val="72E76F30"/>
    <w:rsid w:val="7300E46B"/>
    <w:rsid w:val="7315497E"/>
    <w:rsid w:val="7324008E"/>
    <w:rsid w:val="7331E466"/>
    <w:rsid w:val="7368E909"/>
    <w:rsid w:val="7397E864"/>
    <w:rsid w:val="73C8B095"/>
    <w:rsid w:val="73CD6394"/>
    <w:rsid w:val="73ECCF47"/>
    <w:rsid w:val="73EDAFFA"/>
    <w:rsid w:val="7424ADE6"/>
    <w:rsid w:val="74415B76"/>
    <w:rsid w:val="746181B6"/>
    <w:rsid w:val="74788BC5"/>
    <w:rsid w:val="74842793"/>
    <w:rsid w:val="74B7D059"/>
    <w:rsid w:val="74C96215"/>
    <w:rsid w:val="74CC9A04"/>
    <w:rsid w:val="751206A4"/>
    <w:rsid w:val="75213C05"/>
    <w:rsid w:val="752263D8"/>
    <w:rsid w:val="75555C4B"/>
    <w:rsid w:val="7563A687"/>
    <w:rsid w:val="7583CD7A"/>
    <w:rsid w:val="75C9FBA3"/>
    <w:rsid w:val="75DD9BC4"/>
    <w:rsid w:val="75E1256B"/>
    <w:rsid w:val="75EF5D34"/>
    <w:rsid w:val="760E5449"/>
    <w:rsid w:val="760FB5F0"/>
    <w:rsid w:val="762BACF5"/>
    <w:rsid w:val="762C2905"/>
    <w:rsid w:val="76821054"/>
    <w:rsid w:val="76A72A3B"/>
    <w:rsid w:val="76B270CC"/>
    <w:rsid w:val="77081A65"/>
    <w:rsid w:val="773CD08E"/>
    <w:rsid w:val="774D8A4C"/>
    <w:rsid w:val="776F3F32"/>
    <w:rsid w:val="777D343C"/>
    <w:rsid w:val="77E1F560"/>
    <w:rsid w:val="782635C4"/>
    <w:rsid w:val="782CAE06"/>
    <w:rsid w:val="78628568"/>
    <w:rsid w:val="7878E422"/>
    <w:rsid w:val="7895FA7C"/>
    <w:rsid w:val="78A4A5F0"/>
    <w:rsid w:val="78C5771E"/>
    <w:rsid w:val="7920A96A"/>
    <w:rsid w:val="79226D51"/>
    <w:rsid w:val="7954BB53"/>
    <w:rsid w:val="79767859"/>
    <w:rsid w:val="798A81AC"/>
    <w:rsid w:val="79E72F09"/>
    <w:rsid w:val="79E96FA8"/>
    <w:rsid w:val="7A02A2AA"/>
    <w:rsid w:val="7A5997EB"/>
    <w:rsid w:val="7A6142F6"/>
    <w:rsid w:val="7A75E621"/>
    <w:rsid w:val="7A771809"/>
    <w:rsid w:val="7A7D0703"/>
    <w:rsid w:val="7ABA8AF1"/>
    <w:rsid w:val="7AD505FB"/>
    <w:rsid w:val="7AD6CA46"/>
    <w:rsid w:val="7AEDC821"/>
    <w:rsid w:val="7B194B9C"/>
    <w:rsid w:val="7B1EEC4F"/>
    <w:rsid w:val="7B25768A"/>
    <w:rsid w:val="7B2AC162"/>
    <w:rsid w:val="7B34801C"/>
    <w:rsid w:val="7B75F96E"/>
    <w:rsid w:val="7B7FBD09"/>
    <w:rsid w:val="7B8F62AC"/>
    <w:rsid w:val="7B9C29F2"/>
    <w:rsid w:val="7BABB27A"/>
    <w:rsid w:val="7BCD42ED"/>
    <w:rsid w:val="7C4B1DAC"/>
    <w:rsid w:val="7C7649AB"/>
    <w:rsid w:val="7C9CCDC5"/>
    <w:rsid w:val="7CA2B9FE"/>
    <w:rsid w:val="7CD4BE14"/>
    <w:rsid w:val="7CEF452A"/>
    <w:rsid w:val="7D069B72"/>
    <w:rsid w:val="7D07AC2D"/>
    <w:rsid w:val="7D0852B8"/>
    <w:rsid w:val="7D4A7DE6"/>
    <w:rsid w:val="7D6AFE21"/>
    <w:rsid w:val="7D763476"/>
    <w:rsid w:val="7D8BB712"/>
    <w:rsid w:val="7D9A860E"/>
    <w:rsid w:val="7E0E5138"/>
    <w:rsid w:val="7E22A297"/>
    <w:rsid w:val="7E2F84A9"/>
    <w:rsid w:val="7E314218"/>
    <w:rsid w:val="7E343B91"/>
    <w:rsid w:val="7E52B989"/>
    <w:rsid w:val="7E7384A6"/>
    <w:rsid w:val="7EB21F9A"/>
    <w:rsid w:val="7ECBE571"/>
    <w:rsid w:val="7EDF69C5"/>
    <w:rsid w:val="7EEE626C"/>
    <w:rsid w:val="7F000D00"/>
    <w:rsid w:val="7F3DAC44"/>
    <w:rsid w:val="7F4CABE9"/>
    <w:rsid w:val="7F60A2D6"/>
    <w:rsid w:val="7F74A71A"/>
    <w:rsid w:val="7FB18148"/>
    <w:rsid w:val="7FB83368"/>
    <w:rsid w:val="7FB8CF6A"/>
    <w:rsid w:val="7FE5C27E"/>
    <w:rsid w:val="7FE7AC6A"/>
    <w:rsid w:val="7FEA826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D1B3E"/>
  <w15:chartTrackingRefBased/>
  <w15:docId w15:val="{B5E57E7A-5BE6-45F8-A687-23F9910DA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4D208A"/>
    <w:pPr>
      <w:keepNext/>
      <w:keepLines/>
      <w:numPr>
        <w:numId w:val="1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4D208A"/>
    <w:pPr>
      <w:keepNext/>
      <w:keepLines/>
      <w:numPr>
        <w:ilvl w:val="1"/>
        <w:numId w:val="10"/>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4D208A"/>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4D208A"/>
    <w:pPr>
      <w:keepNext/>
      <w:keepLines/>
      <w:numPr>
        <w:ilvl w:val="3"/>
        <w:numId w:val="10"/>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4D208A"/>
    <w:pPr>
      <w:keepNext/>
      <w:keepLines/>
      <w:numPr>
        <w:ilvl w:val="4"/>
        <w:numId w:val="10"/>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4D208A"/>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4D208A"/>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4D208A"/>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4D208A"/>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C3A4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C3A43"/>
  </w:style>
  <w:style w:type="paragraph" w:styleId="Piedepgina">
    <w:name w:val="footer"/>
    <w:basedOn w:val="Normal"/>
    <w:link w:val="PiedepginaCar"/>
    <w:uiPriority w:val="99"/>
    <w:unhideWhenUsed/>
    <w:rsid w:val="009C3A4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C3A43"/>
  </w:style>
  <w:style w:type="character" w:customStyle="1" w:styleId="Ttulo1Car">
    <w:name w:val="Título 1 Car"/>
    <w:basedOn w:val="Fuentedeprrafopredeter"/>
    <w:link w:val="Ttulo1"/>
    <w:uiPriority w:val="9"/>
    <w:rsid w:val="004D208A"/>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4D208A"/>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4D208A"/>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4D208A"/>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4D208A"/>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4D208A"/>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4D208A"/>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4D208A"/>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4D208A"/>
    <w:rPr>
      <w:rFonts w:asciiTheme="majorHAnsi" w:eastAsiaTheme="majorEastAsia" w:hAnsiTheme="majorHAnsi" w:cstheme="majorBidi"/>
      <w:i/>
      <w:iCs/>
      <w:color w:val="272727" w:themeColor="text1" w:themeTint="D8"/>
      <w:sz w:val="21"/>
      <w:szCs w:val="21"/>
    </w:rPr>
  </w:style>
  <w:style w:type="paragraph" w:styleId="Prrafodelista">
    <w:name w:val="List Paragraph"/>
    <w:aliases w:val="List_Paragraph,Multilevel para_II,List Paragraph1,References,Bullets,List Paragraph (numbered (a)),NUMBERED PARAGRAPH,List Paragraph 1,Akapit z listą BS,IBL List Paragraph,List Paragraph nowy,Numbered List Paragraph,body,Odsek zoznamu2"/>
    <w:basedOn w:val="Normal"/>
    <w:link w:val="PrrafodelistaCar"/>
    <w:uiPriority w:val="34"/>
    <w:qFormat/>
    <w:rsid w:val="004D208A"/>
    <w:pPr>
      <w:ind w:left="720"/>
      <w:contextualSpacing/>
    </w:pPr>
  </w:style>
  <w:style w:type="character" w:customStyle="1" w:styleId="PrrafodelistaCar">
    <w:name w:val="Párrafo de lista Car"/>
    <w:aliases w:val="List_Paragraph Car,Multilevel para_II Car,List Paragraph1 Car,References Car,Bullets Car,List Paragraph (numbered (a)) Car,NUMBERED PARAGRAPH Car,List Paragraph 1 Car,Akapit z listą BS Car,IBL List Paragraph Car,body Car"/>
    <w:link w:val="Prrafodelista"/>
    <w:uiPriority w:val="34"/>
    <w:qFormat/>
    <w:rsid w:val="005C4890"/>
  </w:style>
  <w:style w:type="paragraph" w:customStyle="1" w:styleId="paragraph">
    <w:name w:val="paragraph"/>
    <w:basedOn w:val="Normal"/>
    <w:rsid w:val="002256C9"/>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normaltextrun">
    <w:name w:val="normaltextrun"/>
    <w:basedOn w:val="Fuentedeprrafopredeter"/>
    <w:rsid w:val="002256C9"/>
  </w:style>
  <w:style w:type="character" w:customStyle="1" w:styleId="eop">
    <w:name w:val="eop"/>
    <w:basedOn w:val="Fuentedeprrafopredeter"/>
    <w:rsid w:val="002256C9"/>
  </w:style>
  <w:style w:type="table" w:styleId="Tablaconcuadrcula">
    <w:name w:val="Table Grid"/>
    <w:basedOn w:val="Tablanormal"/>
    <w:uiPriority w:val="39"/>
    <w:rsid w:val="00C26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1clara-nfasis1">
    <w:name w:val="Grid Table 1 Light Accent 1"/>
    <w:basedOn w:val="Tablanormal"/>
    <w:uiPriority w:val="46"/>
    <w:rsid w:val="00C26C3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adelista3-nfasis1">
    <w:name w:val="List Table 3 Accent 1"/>
    <w:basedOn w:val="Tablanormal"/>
    <w:uiPriority w:val="48"/>
    <w:rsid w:val="00C26C38"/>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adelista4-nfasis1">
    <w:name w:val="List Table 4 Accent 1"/>
    <w:basedOn w:val="Tablanormal"/>
    <w:uiPriority w:val="49"/>
    <w:rsid w:val="00C26C38"/>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5oscura-nfasis1">
    <w:name w:val="Grid Table 5 Dark Accent 1"/>
    <w:basedOn w:val="Tablanormal"/>
    <w:uiPriority w:val="50"/>
    <w:rsid w:val="00C26C3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Textodeglobo">
    <w:name w:val="Balloon Text"/>
    <w:basedOn w:val="Normal"/>
    <w:link w:val="TextodegloboCar"/>
    <w:uiPriority w:val="99"/>
    <w:semiHidden/>
    <w:unhideWhenUsed/>
    <w:rsid w:val="005928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287E"/>
    <w:rPr>
      <w:rFonts w:ascii="Segoe UI" w:hAnsi="Segoe UI" w:cs="Segoe UI"/>
      <w:sz w:val="18"/>
      <w:szCs w:val="18"/>
    </w:rPr>
  </w:style>
  <w:style w:type="paragraph" w:styleId="Textonotapie">
    <w:name w:val="footnote text"/>
    <w:basedOn w:val="Normal"/>
    <w:link w:val="TextonotapieCar"/>
    <w:uiPriority w:val="99"/>
    <w:semiHidden/>
    <w:unhideWhenUsed/>
    <w:rsid w:val="000257F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257F8"/>
    <w:rPr>
      <w:sz w:val="20"/>
      <w:szCs w:val="20"/>
    </w:rPr>
  </w:style>
  <w:style w:type="character" w:styleId="Refdenotaalpie">
    <w:name w:val="footnote reference"/>
    <w:basedOn w:val="Fuentedeprrafopredeter"/>
    <w:uiPriority w:val="99"/>
    <w:semiHidden/>
    <w:unhideWhenUsed/>
    <w:rsid w:val="000257F8"/>
    <w:rPr>
      <w:vertAlign w:val="superscript"/>
    </w:rPr>
  </w:style>
  <w:style w:type="paragraph" w:styleId="Textonotaalfinal">
    <w:name w:val="endnote text"/>
    <w:basedOn w:val="Normal"/>
    <w:link w:val="TextonotaalfinalCar"/>
    <w:uiPriority w:val="99"/>
    <w:semiHidden/>
    <w:unhideWhenUsed/>
    <w:rsid w:val="0059496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94968"/>
    <w:rPr>
      <w:sz w:val="20"/>
      <w:szCs w:val="20"/>
    </w:rPr>
  </w:style>
  <w:style w:type="character" w:styleId="Refdenotaalfinal">
    <w:name w:val="endnote reference"/>
    <w:basedOn w:val="Fuentedeprrafopredeter"/>
    <w:uiPriority w:val="99"/>
    <w:semiHidden/>
    <w:unhideWhenUsed/>
    <w:rsid w:val="00594968"/>
    <w:rPr>
      <w:vertAlign w:val="superscript"/>
    </w:rPr>
  </w:style>
  <w:style w:type="character" w:styleId="Hipervnculo">
    <w:name w:val="Hyperlink"/>
    <w:basedOn w:val="Fuentedeprrafopredeter"/>
    <w:uiPriority w:val="99"/>
    <w:unhideWhenUsed/>
    <w:rsid w:val="4CE1DE1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65102">
      <w:bodyDiv w:val="1"/>
      <w:marLeft w:val="0"/>
      <w:marRight w:val="0"/>
      <w:marTop w:val="0"/>
      <w:marBottom w:val="0"/>
      <w:divBdr>
        <w:top w:val="none" w:sz="0" w:space="0" w:color="auto"/>
        <w:left w:val="none" w:sz="0" w:space="0" w:color="auto"/>
        <w:bottom w:val="none" w:sz="0" w:space="0" w:color="auto"/>
        <w:right w:val="none" w:sz="0" w:space="0" w:color="auto"/>
      </w:divBdr>
    </w:div>
    <w:div w:id="344215285">
      <w:bodyDiv w:val="1"/>
      <w:marLeft w:val="0"/>
      <w:marRight w:val="0"/>
      <w:marTop w:val="0"/>
      <w:marBottom w:val="0"/>
      <w:divBdr>
        <w:top w:val="none" w:sz="0" w:space="0" w:color="auto"/>
        <w:left w:val="none" w:sz="0" w:space="0" w:color="auto"/>
        <w:bottom w:val="none" w:sz="0" w:space="0" w:color="auto"/>
        <w:right w:val="none" w:sz="0" w:space="0" w:color="auto"/>
      </w:divBdr>
    </w:div>
    <w:div w:id="773865015">
      <w:bodyDiv w:val="1"/>
      <w:marLeft w:val="0"/>
      <w:marRight w:val="0"/>
      <w:marTop w:val="0"/>
      <w:marBottom w:val="0"/>
      <w:divBdr>
        <w:top w:val="none" w:sz="0" w:space="0" w:color="auto"/>
        <w:left w:val="none" w:sz="0" w:space="0" w:color="auto"/>
        <w:bottom w:val="none" w:sz="0" w:space="0" w:color="auto"/>
        <w:right w:val="none" w:sz="0" w:space="0" w:color="auto"/>
      </w:divBdr>
    </w:div>
    <w:div w:id="1027028578">
      <w:bodyDiv w:val="1"/>
      <w:marLeft w:val="0"/>
      <w:marRight w:val="0"/>
      <w:marTop w:val="0"/>
      <w:marBottom w:val="0"/>
      <w:divBdr>
        <w:top w:val="none" w:sz="0" w:space="0" w:color="auto"/>
        <w:left w:val="none" w:sz="0" w:space="0" w:color="auto"/>
        <w:bottom w:val="none" w:sz="0" w:space="0" w:color="auto"/>
        <w:right w:val="none" w:sz="0" w:space="0" w:color="auto"/>
      </w:divBdr>
      <w:divsChild>
        <w:div w:id="589314342">
          <w:marLeft w:val="0"/>
          <w:marRight w:val="0"/>
          <w:marTop w:val="0"/>
          <w:marBottom w:val="0"/>
          <w:divBdr>
            <w:top w:val="none" w:sz="0" w:space="0" w:color="auto"/>
            <w:left w:val="none" w:sz="0" w:space="0" w:color="auto"/>
            <w:bottom w:val="none" w:sz="0" w:space="0" w:color="auto"/>
            <w:right w:val="none" w:sz="0" w:space="0" w:color="auto"/>
          </w:divBdr>
        </w:div>
        <w:div w:id="1012873479">
          <w:marLeft w:val="0"/>
          <w:marRight w:val="0"/>
          <w:marTop w:val="0"/>
          <w:marBottom w:val="0"/>
          <w:divBdr>
            <w:top w:val="none" w:sz="0" w:space="0" w:color="auto"/>
            <w:left w:val="none" w:sz="0" w:space="0" w:color="auto"/>
            <w:bottom w:val="none" w:sz="0" w:space="0" w:color="auto"/>
            <w:right w:val="none" w:sz="0" w:space="0" w:color="auto"/>
          </w:divBdr>
        </w:div>
        <w:div w:id="2130784204">
          <w:marLeft w:val="0"/>
          <w:marRight w:val="0"/>
          <w:marTop w:val="0"/>
          <w:marBottom w:val="0"/>
          <w:divBdr>
            <w:top w:val="none" w:sz="0" w:space="0" w:color="auto"/>
            <w:left w:val="none" w:sz="0" w:space="0" w:color="auto"/>
            <w:bottom w:val="none" w:sz="0" w:space="0" w:color="auto"/>
            <w:right w:val="none" w:sz="0" w:space="0" w:color="auto"/>
          </w:divBdr>
        </w:div>
        <w:div w:id="1184978862">
          <w:marLeft w:val="0"/>
          <w:marRight w:val="0"/>
          <w:marTop w:val="0"/>
          <w:marBottom w:val="0"/>
          <w:divBdr>
            <w:top w:val="none" w:sz="0" w:space="0" w:color="auto"/>
            <w:left w:val="none" w:sz="0" w:space="0" w:color="auto"/>
            <w:bottom w:val="none" w:sz="0" w:space="0" w:color="auto"/>
            <w:right w:val="none" w:sz="0" w:space="0" w:color="auto"/>
          </w:divBdr>
        </w:div>
        <w:div w:id="1054347954">
          <w:marLeft w:val="0"/>
          <w:marRight w:val="0"/>
          <w:marTop w:val="0"/>
          <w:marBottom w:val="0"/>
          <w:divBdr>
            <w:top w:val="none" w:sz="0" w:space="0" w:color="auto"/>
            <w:left w:val="none" w:sz="0" w:space="0" w:color="auto"/>
            <w:bottom w:val="none" w:sz="0" w:space="0" w:color="auto"/>
            <w:right w:val="none" w:sz="0" w:space="0" w:color="auto"/>
          </w:divBdr>
        </w:div>
        <w:div w:id="1357777347">
          <w:marLeft w:val="0"/>
          <w:marRight w:val="0"/>
          <w:marTop w:val="0"/>
          <w:marBottom w:val="0"/>
          <w:divBdr>
            <w:top w:val="none" w:sz="0" w:space="0" w:color="auto"/>
            <w:left w:val="none" w:sz="0" w:space="0" w:color="auto"/>
            <w:bottom w:val="none" w:sz="0" w:space="0" w:color="auto"/>
            <w:right w:val="none" w:sz="0" w:space="0" w:color="auto"/>
          </w:divBdr>
        </w:div>
        <w:div w:id="1744792905">
          <w:marLeft w:val="0"/>
          <w:marRight w:val="0"/>
          <w:marTop w:val="0"/>
          <w:marBottom w:val="0"/>
          <w:divBdr>
            <w:top w:val="none" w:sz="0" w:space="0" w:color="auto"/>
            <w:left w:val="none" w:sz="0" w:space="0" w:color="auto"/>
            <w:bottom w:val="none" w:sz="0" w:space="0" w:color="auto"/>
            <w:right w:val="none" w:sz="0" w:space="0" w:color="auto"/>
          </w:divBdr>
        </w:div>
        <w:div w:id="1556887076">
          <w:marLeft w:val="0"/>
          <w:marRight w:val="0"/>
          <w:marTop w:val="0"/>
          <w:marBottom w:val="0"/>
          <w:divBdr>
            <w:top w:val="none" w:sz="0" w:space="0" w:color="auto"/>
            <w:left w:val="none" w:sz="0" w:space="0" w:color="auto"/>
            <w:bottom w:val="none" w:sz="0" w:space="0" w:color="auto"/>
            <w:right w:val="none" w:sz="0" w:space="0" w:color="auto"/>
          </w:divBdr>
        </w:div>
        <w:div w:id="339158462">
          <w:marLeft w:val="0"/>
          <w:marRight w:val="0"/>
          <w:marTop w:val="0"/>
          <w:marBottom w:val="0"/>
          <w:divBdr>
            <w:top w:val="none" w:sz="0" w:space="0" w:color="auto"/>
            <w:left w:val="none" w:sz="0" w:space="0" w:color="auto"/>
            <w:bottom w:val="none" w:sz="0" w:space="0" w:color="auto"/>
            <w:right w:val="none" w:sz="0" w:space="0" w:color="auto"/>
          </w:divBdr>
        </w:div>
        <w:div w:id="153842090">
          <w:marLeft w:val="0"/>
          <w:marRight w:val="0"/>
          <w:marTop w:val="0"/>
          <w:marBottom w:val="0"/>
          <w:divBdr>
            <w:top w:val="none" w:sz="0" w:space="0" w:color="auto"/>
            <w:left w:val="none" w:sz="0" w:space="0" w:color="auto"/>
            <w:bottom w:val="none" w:sz="0" w:space="0" w:color="auto"/>
            <w:right w:val="none" w:sz="0" w:space="0" w:color="auto"/>
          </w:divBdr>
        </w:div>
        <w:div w:id="1101535978">
          <w:marLeft w:val="0"/>
          <w:marRight w:val="0"/>
          <w:marTop w:val="0"/>
          <w:marBottom w:val="0"/>
          <w:divBdr>
            <w:top w:val="none" w:sz="0" w:space="0" w:color="auto"/>
            <w:left w:val="none" w:sz="0" w:space="0" w:color="auto"/>
            <w:bottom w:val="none" w:sz="0" w:space="0" w:color="auto"/>
            <w:right w:val="none" w:sz="0" w:space="0" w:color="auto"/>
          </w:divBdr>
        </w:div>
        <w:div w:id="989291073">
          <w:marLeft w:val="0"/>
          <w:marRight w:val="0"/>
          <w:marTop w:val="0"/>
          <w:marBottom w:val="0"/>
          <w:divBdr>
            <w:top w:val="none" w:sz="0" w:space="0" w:color="auto"/>
            <w:left w:val="none" w:sz="0" w:space="0" w:color="auto"/>
            <w:bottom w:val="none" w:sz="0" w:space="0" w:color="auto"/>
            <w:right w:val="none" w:sz="0" w:space="0" w:color="auto"/>
          </w:divBdr>
        </w:div>
        <w:div w:id="741567325">
          <w:marLeft w:val="0"/>
          <w:marRight w:val="0"/>
          <w:marTop w:val="0"/>
          <w:marBottom w:val="0"/>
          <w:divBdr>
            <w:top w:val="none" w:sz="0" w:space="0" w:color="auto"/>
            <w:left w:val="none" w:sz="0" w:space="0" w:color="auto"/>
            <w:bottom w:val="none" w:sz="0" w:space="0" w:color="auto"/>
            <w:right w:val="none" w:sz="0" w:space="0" w:color="auto"/>
          </w:divBdr>
        </w:div>
        <w:div w:id="941840502">
          <w:marLeft w:val="0"/>
          <w:marRight w:val="0"/>
          <w:marTop w:val="0"/>
          <w:marBottom w:val="0"/>
          <w:divBdr>
            <w:top w:val="none" w:sz="0" w:space="0" w:color="auto"/>
            <w:left w:val="none" w:sz="0" w:space="0" w:color="auto"/>
            <w:bottom w:val="none" w:sz="0" w:space="0" w:color="auto"/>
            <w:right w:val="none" w:sz="0" w:space="0" w:color="auto"/>
          </w:divBdr>
        </w:div>
      </w:divsChild>
    </w:div>
    <w:div w:id="1169830010">
      <w:bodyDiv w:val="1"/>
      <w:marLeft w:val="0"/>
      <w:marRight w:val="0"/>
      <w:marTop w:val="0"/>
      <w:marBottom w:val="0"/>
      <w:divBdr>
        <w:top w:val="none" w:sz="0" w:space="0" w:color="auto"/>
        <w:left w:val="none" w:sz="0" w:space="0" w:color="auto"/>
        <w:bottom w:val="none" w:sz="0" w:space="0" w:color="auto"/>
        <w:right w:val="none" w:sz="0" w:space="0" w:color="auto"/>
      </w:divBdr>
      <w:divsChild>
        <w:div w:id="484324172">
          <w:marLeft w:val="0"/>
          <w:marRight w:val="0"/>
          <w:marTop w:val="0"/>
          <w:marBottom w:val="0"/>
          <w:divBdr>
            <w:top w:val="none" w:sz="0" w:space="0" w:color="auto"/>
            <w:left w:val="none" w:sz="0" w:space="0" w:color="auto"/>
            <w:bottom w:val="none" w:sz="0" w:space="0" w:color="auto"/>
            <w:right w:val="none" w:sz="0" w:space="0" w:color="auto"/>
          </w:divBdr>
        </w:div>
        <w:div w:id="295374164">
          <w:marLeft w:val="0"/>
          <w:marRight w:val="0"/>
          <w:marTop w:val="0"/>
          <w:marBottom w:val="0"/>
          <w:divBdr>
            <w:top w:val="none" w:sz="0" w:space="0" w:color="auto"/>
            <w:left w:val="none" w:sz="0" w:space="0" w:color="auto"/>
            <w:bottom w:val="none" w:sz="0" w:space="0" w:color="auto"/>
            <w:right w:val="none" w:sz="0" w:space="0" w:color="auto"/>
          </w:divBdr>
        </w:div>
        <w:div w:id="847870173">
          <w:marLeft w:val="0"/>
          <w:marRight w:val="0"/>
          <w:marTop w:val="0"/>
          <w:marBottom w:val="0"/>
          <w:divBdr>
            <w:top w:val="none" w:sz="0" w:space="0" w:color="auto"/>
            <w:left w:val="none" w:sz="0" w:space="0" w:color="auto"/>
            <w:bottom w:val="none" w:sz="0" w:space="0" w:color="auto"/>
            <w:right w:val="none" w:sz="0" w:space="0" w:color="auto"/>
          </w:divBdr>
        </w:div>
        <w:div w:id="90587947">
          <w:marLeft w:val="0"/>
          <w:marRight w:val="0"/>
          <w:marTop w:val="0"/>
          <w:marBottom w:val="0"/>
          <w:divBdr>
            <w:top w:val="none" w:sz="0" w:space="0" w:color="auto"/>
            <w:left w:val="none" w:sz="0" w:space="0" w:color="auto"/>
            <w:bottom w:val="none" w:sz="0" w:space="0" w:color="auto"/>
            <w:right w:val="none" w:sz="0" w:space="0" w:color="auto"/>
          </w:divBdr>
        </w:div>
        <w:div w:id="1269433427">
          <w:marLeft w:val="0"/>
          <w:marRight w:val="0"/>
          <w:marTop w:val="0"/>
          <w:marBottom w:val="0"/>
          <w:divBdr>
            <w:top w:val="none" w:sz="0" w:space="0" w:color="auto"/>
            <w:left w:val="none" w:sz="0" w:space="0" w:color="auto"/>
            <w:bottom w:val="none" w:sz="0" w:space="0" w:color="auto"/>
            <w:right w:val="none" w:sz="0" w:space="0" w:color="auto"/>
          </w:divBdr>
        </w:div>
        <w:div w:id="1576893883">
          <w:marLeft w:val="0"/>
          <w:marRight w:val="0"/>
          <w:marTop w:val="0"/>
          <w:marBottom w:val="0"/>
          <w:divBdr>
            <w:top w:val="none" w:sz="0" w:space="0" w:color="auto"/>
            <w:left w:val="none" w:sz="0" w:space="0" w:color="auto"/>
            <w:bottom w:val="none" w:sz="0" w:space="0" w:color="auto"/>
            <w:right w:val="none" w:sz="0" w:space="0" w:color="auto"/>
          </w:divBdr>
        </w:div>
        <w:div w:id="313490519">
          <w:marLeft w:val="0"/>
          <w:marRight w:val="0"/>
          <w:marTop w:val="0"/>
          <w:marBottom w:val="0"/>
          <w:divBdr>
            <w:top w:val="none" w:sz="0" w:space="0" w:color="auto"/>
            <w:left w:val="none" w:sz="0" w:space="0" w:color="auto"/>
            <w:bottom w:val="none" w:sz="0" w:space="0" w:color="auto"/>
            <w:right w:val="none" w:sz="0" w:space="0" w:color="auto"/>
          </w:divBdr>
        </w:div>
        <w:div w:id="215556768">
          <w:marLeft w:val="0"/>
          <w:marRight w:val="0"/>
          <w:marTop w:val="0"/>
          <w:marBottom w:val="0"/>
          <w:divBdr>
            <w:top w:val="none" w:sz="0" w:space="0" w:color="auto"/>
            <w:left w:val="none" w:sz="0" w:space="0" w:color="auto"/>
            <w:bottom w:val="none" w:sz="0" w:space="0" w:color="auto"/>
            <w:right w:val="none" w:sz="0" w:space="0" w:color="auto"/>
          </w:divBdr>
        </w:div>
        <w:div w:id="449473627">
          <w:marLeft w:val="0"/>
          <w:marRight w:val="0"/>
          <w:marTop w:val="0"/>
          <w:marBottom w:val="0"/>
          <w:divBdr>
            <w:top w:val="none" w:sz="0" w:space="0" w:color="auto"/>
            <w:left w:val="none" w:sz="0" w:space="0" w:color="auto"/>
            <w:bottom w:val="none" w:sz="0" w:space="0" w:color="auto"/>
            <w:right w:val="none" w:sz="0" w:space="0" w:color="auto"/>
          </w:divBdr>
        </w:div>
        <w:div w:id="1415661861">
          <w:marLeft w:val="0"/>
          <w:marRight w:val="0"/>
          <w:marTop w:val="0"/>
          <w:marBottom w:val="0"/>
          <w:divBdr>
            <w:top w:val="none" w:sz="0" w:space="0" w:color="auto"/>
            <w:left w:val="none" w:sz="0" w:space="0" w:color="auto"/>
            <w:bottom w:val="none" w:sz="0" w:space="0" w:color="auto"/>
            <w:right w:val="none" w:sz="0" w:space="0" w:color="auto"/>
          </w:divBdr>
        </w:div>
        <w:div w:id="740374659">
          <w:marLeft w:val="0"/>
          <w:marRight w:val="0"/>
          <w:marTop w:val="0"/>
          <w:marBottom w:val="0"/>
          <w:divBdr>
            <w:top w:val="none" w:sz="0" w:space="0" w:color="auto"/>
            <w:left w:val="none" w:sz="0" w:space="0" w:color="auto"/>
            <w:bottom w:val="none" w:sz="0" w:space="0" w:color="auto"/>
            <w:right w:val="none" w:sz="0" w:space="0" w:color="auto"/>
          </w:divBdr>
        </w:div>
        <w:div w:id="194929697">
          <w:marLeft w:val="0"/>
          <w:marRight w:val="0"/>
          <w:marTop w:val="0"/>
          <w:marBottom w:val="0"/>
          <w:divBdr>
            <w:top w:val="none" w:sz="0" w:space="0" w:color="auto"/>
            <w:left w:val="none" w:sz="0" w:space="0" w:color="auto"/>
            <w:bottom w:val="none" w:sz="0" w:space="0" w:color="auto"/>
            <w:right w:val="none" w:sz="0" w:space="0" w:color="auto"/>
          </w:divBdr>
        </w:div>
        <w:div w:id="1423184150">
          <w:marLeft w:val="0"/>
          <w:marRight w:val="0"/>
          <w:marTop w:val="0"/>
          <w:marBottom w:val="0"/>
          <w:divBdr>
            <w:top w:val="none" w:sz="0" w:space="0" w:color="auto"/>
            <w:left w:val="none" w:sz="0" w:space="0" w:color="auto"/>
            <w:bottom w:val="none" w:sz="0" w:space="0" w:color="auto"/>
            <w:right w:val="none" w:sz="0" w:space="0" w:color="auto"/>
          </w:divBdr>
        </w:div>
        <w:div w:id="1908105321">
          <w:marLeft w:val="0"/>
          <w:marRight w:val="0"/>
          <w:marTop w:val="0"/>
          <w:marBottom w:val="0"/>
          <w:divBdr>
            <w:top w:val="none" w:sz="0" w:space="0" w:color="auto"/>
            <w:left w:val="none" w:sz="0" w:space="0" w:color="auto"/>
            <w:bottom w:val="none" w:sz="0" w:space="0" w:color="auto"/>
            <w:right w:val="none" w:sz="0" w:space="0" w:color="auto"/>
          </w:divBdr>
        </w:div>
        <w:div w:id="1781489241">
          <w:marLeft w:val="0"/>
          <w:marRight w:val="0"/>
          <w:marTop w:val="0"/>
          <w:marBottom w:val="0"/>
          <w:divBdr>
            <w:top w:val="none" w:sz="0" w:space="0" w:color="auto"/>
            <w:left w:val="none" w:sz="0" w:space="0" w:color="auto"/>
            <w:bottom w:val="none" w:sz="0" w:space="0" w:color="auto"/>
            <w:right w:val="none" w:sz="0" w:space="0" w:color="auto"/>
          </w:divBdr>
        </w:div>
        <w:div w:id="803352133">
          <w:marLeft w:val="0"/>
          <w:marRight w:val="0"/>
          <w:marTop w:val="0"/>
          <w:marBottom w:val="0"/>
          <w:divBdr>
            <w:top w:val="none" w:sz="0" w:space="0" w:color="auto"/>
            <w:left w:val="none" w:sz="0" w:space="0" w:color="auto"/>
            <w:bottom w:val="none" w:sz="0" w:space="0" w:color="auto"/>
            <w:right w:val="none" w:sz="0" w:space="0" w:color="auto"/>
          </w:divBdr>
        </w:div>
        <w:div w:id="357896325">
          <w:marLeft w:val="0"/>
          <w:marRight w:val="0"/>
          <w:marTop w:val="0"/>
          <w:marBottom w:val="0"/>
          <w:divBdr>
            <w:top w:val="none" w:sz="0" w:space="0" w:color="auto"/>
            <w:left w:val="none" w:sz="0" w:space="0" w:color="auto"/>
            <w:bottom w:val="none" w:sz="0" w:space="0" w:color="auto"/>
            <w:right w:val="none" w:sz="0" w:space="0" w:color="auto"/>
          </w:divBdr>
        </w:div>
      </w:divsChild>
    </w:div>
    <w:div w:id="1173760054">
      <w:bodyDiv w:val="1"/>
      <w:marLeft w:val="0"/>
      <w:marRight w:val="0"/>
      <w:marTop w:val="0"/>
      <w:marBottom w:val="0"/>
      <w:divBdr>
        <w:top w:val="none" w:sz="0" w:space="0" w:color="auto"/>
        <w:left w:val="none" w:sz="0" w:space="0" w:color="auto"/>
        <w:bottom w:val="none" w:sz="0" w:space="0" w:color="auto"/>
        <w:right w:val="none" w:sz="0" w:space="0" w:color="auto"/>
      </w:divBdr>
    </w:div>
    <w:div w:id="1210414161">
      <w:bodyDiv w:val="1"/>
      <w:marLeft w:val="0"/>
      <w:marRight w:val="0"/>
      <w:marTop w:val="0"/>
      <w:marBottom w:val="0"/>
      <w:divBdr>
        <w:top w:val="none" w:sz="0" w:space="0" w:color="auto"/>
        <w:left w:val="none" w:sz="0" w:space="0" w:color="auto"/>
        <w:bottom w:val="none" w:sz="0" w:space="0" w:color="auto"/>
        <w:right w:val="none" w:sz="0" w:space="0" w:color="auto"/>
      </w:divBdr>
    </w:div>
    <w:div w:id="1408964123">
      <w:bodyDiv w:val="1"/>
      <w:marLeft w:val="0"/>
      <w:marRight w:val="0"/>
      <w:marTop w:val="0"/>
      <w:marBottom w:val="0"/>
      <w:divBdr>
        <w:top w:val="none" w:sz="0" w:space="0" w:color="auto"/>
        <w:left w:val="none" w:sz="0" w:space="0" w:color="auto"/>
        <w:bottom w:val="none" w:sz="0" w:space="0" w:color="auto"/>
        <w:right w:val="none" w:sz="0" w:space="0" w:color="auto"/>
      </w:divBdr>
      <w:divsChild>
        <w:div w:id="1690135369">
          <w:marLeft w:val="446"/>
          <w:marRight w:val="0"/>
          <w:marTop w:val="200"/>
          <w:marBottom w:val="0"/>
          <w:divBdr>
            <w:top w:val="none" w:sz="0" w:space="0" w:color="auto"/>
            <w:left w:val="none" w:sz="0" w:space="0" w:color="auto"/>
            <w:bottom w:val="none" w:sz="0" w:space="0" w:color="auto"/>
            <w:right w:val="none" w:sz="0" w:space="0" w:color="auto"/>
          </w:divBdr>
        </w:div>
        <w:div w:id="911743371">
          <w:marLeft w:val="446"/>
          <w:marRight w:val="0"/>
          <w:marTop w:val="200"/>
          <w:marBottom w:val="0"/>
          <w:divBdr>
            <w:top w:val="none" w:sz="0" w:space="0" w:color="auto"/>
            <w:left w:val="none" w:sz="0" w:space="0" w:color="auto"/>
            <w:bottom w:val="none" w:sz="0" w:space="0" w:color="auto"/>
            <w:right w:val="none" w:sz="0" w:space="0" w:color="auto"/>
          </w:divBdr>
        </w:div>
        <w:div w:id="1037925683">
          <w:marLeft w:val="446"/>
          <w:marRight w:val="0"/>
          <w:marTop w:val="200"/>
          <w:marBottom w:val="0"/>
          <w:divBdr>
            <w:top w:val="none" w:sz="0" w:space="0" w:color="auto"/>
            <w:left w:val="none" w:sz="0" w:space="0" w:color="auto"/>
            <w:bottom w:val="none" w:sz="0" w:space="0" w:color="auto"/>
            <w:right w:val="none" w:sz="0" w:space="0" w:color="auto"/>
          </w:divBdr>
        </w:div>
        <w:div w:id="743575925">
          <w:marLeft w:val="446"/>
          <w:marRight w:val="0"/>
          <w:marTop w:val="200"/>
          <w:marBottom w:val="0"/>
          <w:divBdr>
            <w:top w:val="none" w:sz="0" w:space="0" w:color="auto"/>
            <w:left w:val="none" w:sz="0" w:space="0" w:color="auto"/>
            <w:bottom w:val="none" w:sz="0" w:space="0" w:color="auto"/>
            <w:right w:val="none" w:sz="0" w:space="0" w:color="auto"/>
          </w:divBdr>
        </w:div>
        <w:div w:id="1405447508">
          <w:marLeft w:val="446"/>
          <w:marRight w:val="0"/>
          <w:marTop w:val="200"/>
          <w:marBottom w:val="0"/>
          <w:divBdr>
            <w:top w:val="none" w:sz="0" w:space="0" w:color="auto"/>
            <w:left w:val="none" w:sz="0" w:space="0" w:color="auto"/>
            <w:bottom w:val="none" w:sz="0" w:space="0" w:color="auto"/>
            <w:right w:val="none" w:sz="0" w:space="0" w:color="auto"/>
          </w:divBdr>
        </w:div>
      </w:divsChild>
    </w:div>
    <w:div w:id="1769884829">
      <w:bodyDiv w:val="1"/>
      <w:marLeft w:val="0"/>
      <w:marRight w:val="0"/>
      <w:marTop w:val="0"/>
      <w:marBottom w:val="0"/>
      <w:divBdr>
        <w:top w:val="none" w:sz="0" w:space="0" w:color="auto"/>
        <w:left w:val="none" w:sz="0" w:space="0" w:color="auto"/>
        <w:bottom w:val="none" w:sz="0" w:space="0" w:color="auto"/>
        <w:right w:val="none" w:sz="0" w:space="0" w:color="auto"/>
      </w:divBdr>
    </w:div>
    <w:div w:id="1909225705">
      <w:bodyDiv w:val="1"/>
      <w:marLeft w:val="0"/>
      <w:marRight w:val="0"/>
      <w:marTop w:val="0"/>
      <w:marBottom w:val="0"/>
      <w:divBdr>
        <w:top w:val="none" w:sz="0" w:space="0" w:color="auto"/>
        <w:left w:val="none" w:sz="0" w:space="0" w:color="auto"/>
        <w:bottom w:val="none" w:sz="0" w:space="0" w:color="auto"/>
        <w:right w:val="none" w:sz="0" w:space="0" w:color="auto"/>
      </w:divBdr>
    </w:div>
    <w:div w:id="191138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f75f9e19ce714ea2" Type="http://schemas.microsoft.com/office/2016/09/relationships/commentsIds" Target="commentsIds.xml"/><Relationship Id="R0a77f0d6d59042a3"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9f5cd6a-f1c3-4b98-aaf4-85860ed11ca7">
      <Terms xmlns="http://schemas.microsoft.com/office/infopath/2007/PartnerControls"/>
    </lcf76f155ced4ddcb4097134ff3c332f>
    <TaxCatchAll xmlns="604858a0-b10a-4d3a-bd71-325981d7531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EBEFBC78C07C0468E510C07FCAAF9A2" ma:contentTypeVersion="11" ma:contentTypeDescription="Crear nuevo documento." ma:contentTypeScope="" ma:versionID="ab24911008cb3f23e82ae603df7c07f7">
  <xsd:schema xmlns:xsd="http://www.w3.org/2001/XMLSchema" xmlns:xs="http://www.w3.org/2001/XMLSchema" xmlns:p="http://schemas.microsoft.com/office/2006/metadata/properties" xmlns:ns2="49f5cd6a-f1c3-4b98-aaf4-85860ed11ca7" xmlns:ns3="604858a0-b10a-4d3a-bd71-325981d75314" targetNamespace="http://schemas.microsoft.com/office/2006/metadata/properties" ma:root="true" ma:fieldsID="30183619db9471f5b59ce922bae11931" ns2:_="" ns3:_="">
    <xsd:import namespace="49f5cd6a-f1c3-4b98-aaf4-85860ed11ca7"/>
    <xsd:import namespace="604858a0-b10a-4d3a-bd71-325981d7531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5cd6a-f1c3-4b98-aaf4-85860ed11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2f0dbd7-f940-49bd-8720-2bbe133a983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4858a0-b10a-4d3a-bd71-325981d7531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a0cdcd-8a99-4e36-b7f9-7dcf604d1ea4}" ma:internalName="TaxCatchAll" ma:showField="CatchAllData" ma:web="604858a0-b10a-4d3a-bd71-325981d753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7417-1E33-4A57-9F3E-6C3C69026D37}">
  <ds:schemaRefs>
    <ds:schemaRef ds:uri="http://schemas.microsoft.com/sharepoint/v3/contenttype/forms"/>
  </ds:schemaRefs>
</ds:datastoreItem>
</file>

<file path=customXml/itemProps2.xml><?xml version="1.0" encoding="utf-8"?>
<ds:datastoreItem xmlns:ds="http://schemas.openxmlformats.org/officeDocument/2006/customXml" ds:itemID="{5D3FE7AC-F3EA-488C-AF19-4B29DDAB1C1E}">
  <ds:schemaRefs>
    <ds:schemaRef ds:uri="http://schemas.microsoft.com/office/2006/metadata/properties"/>
    <ds:schemaRef ds:uri="http://schemas.microsoft.com/office/infopath/2007/PartnerControls"/>
    <ds:schemaRef ds:uri="49f5cd6a-f1c3-4b98-aaf4-85860ed11ca7"/>
    <ds:schemaRef ds:uri="604858a0-b10a-4d3a-bd71-325981d75314"/>
  </ds:schemaRefs>
</ds:datastoreItem>
</file>

<file path=customXml/itemProps3.xml><?xml version="1.0" encoding="utf-8"?>
<ds:datastoreItem xmlns:ds="http://schemas.openxmlformats.org/officeDocument/2006/customXml" ds:itemID="{2C90E8F6-A352-45B0-A391-22D3DEC1A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5cd6a-f1c3-4b98-aaf4-85860ed11ca7"/>
    <ds:schemaRef ds:uri="604858a0-b10a-4d3a-bd71-325981d75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2EDBF2-C1A2-4222-8CED-2289A84B2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1441</Words>
  <Characters>7929</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Patricio Echenique Gutiérrez (DGOP)</dc:creator>
  <cp:keywords/>
  <dc:description/>
  <cp:lastModifiedBy>Emilio Osorio Carvajal (DGOP)</cp:lastModifiedBy>
  <cp:revision>2</cp:revision>
  <dcterms:created xsi:type="dcterms:W3CDTF">2026-01-15T18:20:00Z</dcterms:created>
  <dcterms:modified xsi:type="dcterms:W3CDTF">2026-01-15T18:20:00Z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0x0101002EBEFBC78C07C0468E510C07FCAAF9A2</vt:lpwstr>
  </property>
  <property fmtid="{D5CDD505-2E9C-101B-9397-08002B2CF9AE}" pid="3" name="MediaServiceImageTags">
    <vt:lpwstr/>
  </property>
</Properties>
</file>